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6454" w14:textId="77777777" w:rsidR="00063444" w:rsidRPr="00A5215F" w:rsidRDefault="00063444" w:rsidP="00063444">
      <w:pPr>
        <w:tabs>
          <w:tab w:val="center" w:pos="-1134"/>
          <w:tab w:val="left" w:pos="1983"/>
          <w:tab w:val="center" w:pos="4819"/>
        </w:tabs>
        <w:jc w:val="center"/>
        <w:rPr>
          <w:b/>
          <w:bCs/>
          <w:sz w:val="26"/>
          <w:szCs w:val="26"/>
          <w:lang w:val="de-DE"/>
        </w:rPr>
      </w:pPr>
      <w:bookmarkStart w:id="0" w:name="_GoBack"/>
      <w:bookmarkEnd w:id="0"/>
      <w:r w:rsidRPr="00A5215F">
        <w:rPr>
          <w:b/>
          <w:bCs/>
          <w:sz w:val="26"/>
          <w:szCs w:val="26"/>
          <w:lang w:val="de-DE"/>
        </w:rPr>
        <w:t>Vorlesung Sachenrecht</w:t>
      </w:r>
    </w:p>
    <w:p w14:paraId="2EFE56D2" w14:textId="77777777" w:rsidR="00063444" w:rsidRPr="00A5215F" w:rsidRDefault="00B31168" w:rsidP="00063444">
      <w:pPr>
        <w:tabs>
          <w:tab w:val="center" w:pos="-1134"/>
          <w:tab w:val="left" w:pos="1983"/>
          <w:tab w:val="center" w:pos="4819"/>
        </w:tabs>
        <w:jc w:val="center"/>
        <w:rPr>
          <w:b/>
          <w:bCs/>
          <w:sz w:val="26"/>
          <w:szCs w:val="26"/>
          <w:lang w:val="de-DE"/>
        </w:rPr>
      </w:pPr>
      <w:r w:rsidRPr="00A5215F">
        <w:rPr>
          <w:b/>
          <w:bCs/>
          <w:sz w:val="26"/>
          <w:szCs w:val="26"/>
          <w:lang w:val="de-DE"/>
        </w:rPr>
        <w:t>Falllösungen zum Arbeitspapier 8</w:t>
      </w:r>
    </w:p>
    <w:p w14:paraId="672A6659" w14:textId="77777777" w:rsidR="009A62E0" w:rsidRPr="00A5215F" w:rsidRDefault="009A62E0" w:rsidP="000C0928">
      <w:pPr>
        <w:tabs>
          <w:tab w:val="center" w:pos="-1134"/>
          <w:tab w:val="left" w:pos="1983"/>
          <w:tab w:val="center" w:pos="4819"/>
        </w:tabs>
        <w:jc w:val="both"/>
        <w:rPr>
          <w:sz w:val="22"/>
          <w:szCs w:val="22"/>
          <w:u w:val="single"/>
          <w:lang w:val="de-DE"/>
        </w:rPr>
      </w:pPr>
    </w:p>
    <w:p w14:paraId="5CEDCAE1" w14:textId="77777777" w:rsidR="00063444" w:rsidRPr="00A5215F" w:rsidRDefault="00063444" w:rsidP="00063444">
      <w:pPr>
        <w:jc w:val="both"/>
        <w:rPr>
          <w:b/>
          <w:sz w:val="22"/>
          <w:szCs w:val="22"/>
          <w:u w:val="single"/>
          <w:lang w:val="de-DE"/>
        </w:rPr>
      </w:pPr>
      <w:r w:rsidRPr="00A5215F">
        <w:rPr>
          <w:b/>
          <w:sz w:val="22"/>
          <w:szCs w:val="22"/>
          <w:u w:val="single"/>
          <w:lang w:val="de-DE"/>
        </w:rPr>
        <w:t>Fall 1</w:t>
      </w:r>
    </w:p>
    <w:p w14:paraId="0A37501D" w14:textId="77777777" w:rsidR="00063444" w:rsidRPr="00A5215F" w:rsidRDefault="00063444" w:rsidP="00063444">
      <w:pPr>
        <w:jc w:val="both"/>
        <w:rPr>
          <w:b/>
          <w:sz w:val="22"/>
          <w:szCs w:val="22"/>
          <w:u w:val="single"/>
          <w:lang w:val="de-DE"/>
        </w:rPr>
      </w:pPr>
    </w:p>
    <w:p w14:paraId="77B9609E" w14:textId="77777777" w:rsidR="00B31168" w:rsidRPr="00A5215F" w:rsidRDefault="00B31168" w:rsidP="00B31168">
      <w:pPr>
        <w:jc w:val="both"/>
        <w:rPr>
          <w:sz w:val="22"/>
          <w:szCs w:val="22"/>
          <w:lang w:val="de-DE"/>
        </w:rPr>
      </w:pPr>
      <w:r w:rsidRPr="00A5215F">
        <w:rPr>
          <w:sz w:val="22"/>
          <w:szCs w:val="22"/>
          <w:lang w:val="de-DE"/>
        </w:rPr>
        <w:t>K könnte einen Anspruch auf Auflassung des Grundstücks gem. § 925 BGB haben.</w:t>
      </w:r>
    </w:p>
    <w:p w14:paraId="5DAB6C7B" w14:textId="77777777" w:rsidR="00B31168" w:rsidRPr="00A5215F" w:rsidRDefault="00B31168" w:rsidP="00B31168">
      <w:pPr>
        <w:jc w:val="both"/>
        <w:rPr>
          <w:sz w:val="22"/>
          <w:szCs w:val="22"/>
          <w:lang w:val="de-DE"/>
        </w:rPr>
      </w:pPr>
    </w:p>
    <w:p w14:paraId="6A0F9A83" w14:textId="77777777" w:rsidR="00B31168" w:rsidRPr="00A5215F" w:rsidRDefault="00B31168" w:rsidP="00B31168">
      <w:pPr>
        <w:jc w:val="both"/>
        <w:rPr>
          <w:b/>
          <w:sz w:val="22"/>
          <w:szCs w:val="22"/>
          <w:lang w:val="de-DE"/>
        </w:rPr>
      </w:pPr>
      <w:r w:rsidRPr="00A5215F">
        <w:rPr>
          <w:b/>
          <w:sz w:val="22"/>
          <w:szCs w:val="22"/>
          <w:lang w:val="de-DE"/>
        </w:rPr>
        <w:t>I. Vertrag zwischen K und W</w:t>
      </w:r>
    </w:p>
    <w:p w14:paraId="230888ED" w14:textId="77777777" w:rsidR="00B31168" w:rsidRPr="00A5215F" w:rsidRDefault="00B31168" w:rsidP="00B31168">
      <w:pPr>
        <w:jc w:val="both"/>
        <w:rPr>
          <w:sz w:val="22"/>
          <w:szCs w:val="22"/>
          <w:lang w:val="de-DE"/>
        </w:rPr>
      </w:pPr>
      <w:r w:rsidRPr="00A5215F">
        <w:rPr>
          <w:sz w:val="22"/>
          <w:szCs w:val="22"/>
          <w:lang w:val="de-DE"/>
        </w:rPr>
        <w:t>Dazu müsste ein Verpflichtungsgeschäft zwischen K und W vorliegen. Als solches kommt ein zwischen K und der Wohnungsbaugesellschaft W geschlossener Kaufvertrag in Betracht.</w:t>
      </w:r>
    </w:p>
    <w:p w14:paraId="5B94A568" w14:textId="77777777" w:rsidR="00B31168" w:rsidRPr="00A5215F" w:rsidRDefault="00B31168" w:rsidP="00B31168">
      <w:pPr>
        <w:jc w:val="both"/>
        <w:rPr>
          <w:sz w:val="22"/>
          <w:szCs w:val="22"/>
          <w:lang w:val="de-DE"/>
        </w:rPr>
      </w:pPr>
      <w:r w:rsidRPr="00A5215F">
        <w:rPr>
          <w:sz w:val="22"/>
          <w:szCs w:val="22"/>
          <w:lang w:val="de-DE"/>
        </w:rPr>
        <w:t>K und W haben sich über den Kauf des Grundstücks sowie die Errichtung des Hauses geeinigt. Folglich liegt ein typengemischter Vertrag vor (Kaufvertrag + Werkvertrag).</w:t>
      </w:r>
    </w:p>
    <w:p w14:paraId="02EB378F" w14:textId="77777777" w:rsidR="00B31168" w:rsidRPr="00A5215F" w:rsidRDefault="00B31168" w:rsidP="00B31168">
      <w:pPr>
        <w:jc w:val="both"/>
        <w:rPr>
          <w:sz w:val="22"/>
          <w:szCs w:val="22"/>
          <w:lang w:val="de-DE"/>
        </w:rPr>
      </w:pPr>
    </w:p>
    <w:p w14:paraId="15C6BB2F" w14:textId="77777777" w:rsidR="00B31168" w:rsidRPr="00A5215F" w:rsidRDefault="00B31168" w:rsidP="00B31168">
      <w:pPr>
        <w:jc w:val="both"/>
        <w:rPr>
          <w:b/>
          <w:sz w:val="22"/>
          <w:szCs w:val="22"/>
          <w:lang w:val="de-DE"/>
        </w:rPr>
      </w:pPr>
      <w:r w:rsidRPr="00A5215F">
        <w:rPr>
          <w:b/>
          <w:sz w:val="22"/>
          <w:szCs w:val="22"/>
          <w:lang w:val="de-DE"/>
        </w:rPr>
        <w:t>II. Formnichtigkeit</w:t>
      </w:r>
    </w:p>
    <w:p w14:paraId="5A0F192C" w14:textId="77777777" w:rsidR="00B31168" w:rsidRPr="00A5215F" w:rsidRDefault="00B31168" w:rsidP="00B31168">
      <w:pPr>
        <w:jc w:val="both"/>
        <w:rPr>
          <w:sz w:val="22"/>
          <w:szCs w:val="22"/>
          <w:lang w:val="de-DE"/>
        </w:rPr>
      </w:pPr>
      <w:r w:rsidRPr="00A5215F">
        <w:rPr>
          <w:sz w:val="22"/>
          <w:szCs w:val="22"/>
          <w:lang w:val="de-DE"/>
        </w:rPr>
        <w:t>Dieser Vertrag könnte allerdings gem. § 125 S. 1 BGB formnichtig sein.</w:t>
      </w:r>
    </w:p>
    <w:p w14:paraId="4F832055" w14:textId="77777777" w:rsidR="00B31168" w:rsidRPr="00A5215F" w:rsidRDefault="00B31168" w:rsidP="00B31168">
      <w:pPr>
        <w:jc w:val="both"/>
        <w:rPr>
          <w:color w:val="000000"/>
          <w:sz w:val="22"/>
          <w:szCs w:val="22"/>
          <w:lang w:val="de-DE"/>
        </w:rPr>
      </w:pPr>
      <w:r w:rsidRPr="00A5215F">
        <w:rPr>
          <w:color w:val="000000"/>
          <w:sz w:val="22"/>
          <w:szCs w:val="22"/>
          <w:lang w:val="de-DE"/>
        </w:rPr>
        <w:t>Dem Beurkundungserfordernis gem. § 311 b Abs. 1 S. 1 BGB unterliegen bei einem Grundstückskaufvertrag alle Vereinbarungen, aus denen sich nach dem Willen der Vertragspartner das schuldrechtliche Verpflichtungsgeschäft zusammensetzt. Vorliegend müsste also auch auf die Baupläne Bezug genommen werden, aufgrund derer die Errichtung des Eigenheims erfolgen soll. Hier wurde jedoch weder der Kaufvertrag hinsichtlich des Grundstücks noch hinsichtlich des Eigenheims notariell beurkundet. Eine Heilung gem. Satz 2 fand nicht statt. Daher ist der Kaufvertrag gem. § 125 S. 1 BGB formnichtig.</w:t>
      </w:r>
    </w:p>
    <w:p w14:paraId="6A05A809" w14:textId="77777777" w:rsidR="00B31168" w:rsidRPr="00A5215F" w:rsidRDefault="00B31168" w:rsidP="00B31168">
      <w:pPr>
        <w:jc w:val="both"/>
        <w:rPr>
          <w:color w:val="000000"/>
          <w:sz w:val="22"/>
          <w:szCs w:val="22"/>
          <w:lang w:val="de-DE"/>
        </w:rPr>
      </w:pPr>
    </w:p>
    <w:p w14:paraId="2D15327C" w14:textId="77777777" w:rsidR="00B31168" w:rsidRPr="00A5215F" w:rsidRDefault="00B31168" w:rsidP="00B31168">
      <w:pPr>
        <w:jc w:val="both"/>
        <w:rPr>
          <w:b/>
          <w:color w:val="000000"/>
          <w:sz w:val="22"/>
          <w:szCs w:val="22"/>
          <w:lang w:val="de-DE"/>
        </w:rPr>
      </w:pPr>
      <w:r w:rsidRPr="00A5215F">
        <w:rPr>
          <w:b/>
          <w:color w:val="000000"/>
          <w:sz w:val="22"/>
          <w:szCs w:val="22"/>
          <w:lang w:val="de-DE"/>
        </w:rPr>
        <w:t>III. Ergebnis</w:t>
      </w:r>
    </w:p>
    <w:p w14:paraId="35A57C74" w14:textId="77777777" w:rsidR="00B31168" w:rsidRPr="00A5215F" w:rsidRDefault="00B31168" w:rsidP="00B31168">
      <w:pPr>
        <w:jc w:val="both"/>
        <w:rPr>
          <w:color w:val="000000"/>
          <w:sz w:val="22"/>
          <w:szCs w:val="22"/>
          <w:lang w:val="de-DE"/>
        </w:rPr>
      </w:pPr>
      <w:r w:rsidRPr="00A5215F">
        <w:rPr>
          <w:color w:val="000000"/>
          <w:sz w:val="22"/>
          <w:szCs w:val="22"/>
          <w:lang w:val="de-DE"/>
        </w:rPr>
        <w:t>K hat somit keinen Anspruch auf Auflassung des Grundstücks.</w:t>
      </w:r>
    </w:p>
    <w:p w14:paraId="5A39BBE3" w14:textId="77777777" w:rsidR="00063444" w:rsidRDefault="00063444" w:rsidP="00063444">
      <w:pPr>
        <w:rPr>
          <w:sz w:val="22"/>
          <w:szCs w:val="22"/>
          <w:lang w:val="de-DE"/>
        </w:rPr>
      </w:pPr>
    </w:p>
    <w:p w14:paraId="41C8F396" w14:textId="77777777" w:rsidR="00A5215F" w:rsidRPr="00A5215F" w:rsidRDefault="00A5215F" w:rsidP="00063444">
      <w:pPr>
        <w:rPr>
          <w:sz w:val="22"/>
          <w:szCs w:val="22"/>
          <w:lang w:val="de-DE"/>
        </w:rPr>
      </w:pPr>
    </w:p>
    <w:p w14:paraId="6FEBC2FB" w14:textId="77777777" w:rsidR="00063444" w:rsidRPr="00A5215F" w:rsidRDefault="00063444" w:rsidP="00063444">
      <w:pPr>
        <w:rPr>
          <w:sz w:val="22"/>
          <w:szCs w:val="22"/>
          <w:lang w:val="de-DE"/>
        </w:rPr>
      </w:pPr>
      <w:r w:rsidRPr="00A5215F">
        <w:rPr>
          <w:b/>
          <w:sz w:val="22"/>
          <w:szCs w:val="22"/>
          <w:u w:val="single"/>
          <w:lang w:val="de-DE"/>
        </w:rPr>
        <w:t>Fall 2</w:t>
      </w:r>
    </w:p>
    <w:p w14:paraId="72A3D3EC" w14:textId="77777777" w:rsidR="00063444" w:rsidRPr="00A5215F" w:rsidRDefault="00063444" w:rsidP="00063444">
      <w:pPr>
        <w:jc w:val="both"/>
        <w:rPr>
          <w:b/>
          <w:sz w:val="22"/>
          <w:szCs w:val="22"/>
          <w:u w:val="single"/>
          <w:lang w:val="de-DE"/>
        </w:rPr>
      </w:pPr>
    </w:p>
    <w:p w14:paraId="547815C0" w14:textId="6EA5E794" w:rsidR="00B31168" w:rsidRPr="00A5215F" w:rsidRDefault="00B31168" w:rsidP="00B31168">
      <w:pPr>
        <w:jc w:val="both"/>
        <w:rPr>
          <w:color w:val="000000"/>
          <w:sz w:val="22"/>
          <w:szCs w:val="22"/>
          <w:lang w:val="de-DE"/>
        </w:rPr>
      </w:pPr>
      <w:r w:rsidRPr="7EE6BD28">
        <w:rPr>
          <w:color w:val="000000" w:themeColor="text1"/>
          <w:sz w:val="22"/>
          <w:szCs w:val="22"/>
          <w:lang w:val="de-DE"/>
        </w:rPr>
        <w:t>Die Betreuerin der E könnte gegen K einen Anspruch aus § 894 BGB auf Zustimmung der Wiedereintragung der E als Eigentümerin haben, wenn die formelle Grundbuchlage nicht mit der materiellen Rechtslage übereinstimmt. Das Grundbuch müsste also bezüglich der Eigentumslage unrichtig sein.</w:t>
      </w:r>
    </w:p>
    <w:p w14:paraId="0D0B940D" w14:textId="77777777" w:rsidR="00B31168" w:rsidRPr="00A5215F" w:rsidRDefault="00B31168" w:rsidP="00B31168">
      <w:pPr>
        <w:jc w:val="both"/>
        <w:rPr>
          <w:color w:val="000000"/>
          <w:sz w:val="22"/>
          <w:szCs w:val="22"/>
          <w:lang w:val="de-DE"/>
        </w:rPr>
      </w:pPr>
    </w:p>
    <w:p w14:paraId="17A3271C" w14:textId="77777777" w:rsidR="00B31168" w:rsidRPr="00A5215F" w:rsidRDefault="00B31168" w:rsidP="00B31168">
      <w:pPr>
        <w:jc w:val="both"/>
        <w:rPr>
          <w:b/>
          <w:color w:val="000000"/>
          <w:sz w:val="22"/>
          <w:szCs w:val="22"/>
          <w:lang w:val="de-DE"/>
        </w:rPr>
      </w:pPr>
      <w:r w:rsidRPr="00A5215F">
        <w:rPr>
          <w:b/>
          <w:color w:val="000000"/>
          <w:sz w:val="22"/>
          <w:szCs w:val="22"/>
          <w:lang w:val="de-DE"/>
        </w:rPr>
        <w:t>I. Materielle Rechtslage</w:t>
      </w:r>
    </w:p>
    <w:p w14:paraId="6A076BE9" w14:textId="6DB20B54" w:rsidR="00B31168" w:rsidRPr="00A5215F" w:rsidRDefault="00B31168" w:rsidP="00B31168">
      <w:pPr>
        <w:jc w:val="both"/>
        <w:rPr>
          <w:color w:val="000000"/>
          <w:sz w:val="22"/>
          <w:szCs w:val="22"/>
          <w:lang w:val="de-DE"/>
        </w:rPr>
      </w:pPr>
      <w:r w:rsidRPr="7EE6BD28">
        <w:rPr>
          <w:color w:val="000000" w:themeColor="text1"/>
          <w:sz w:val="22"/>
          <w:szCs w:val="22"/>
          <w:lang w:val="de-DE"/>
        </w:rPr>
        <w:t>Fraglich ist, wer tatsächlich Eigentümerin des Grundstücks ist. Ursprünglich war E Eigentümerin. E könnte ihr Eigentum aber an K verloren haben. Dies erfolgt gem. §§ 873, 925 Abs. 1 BGB durch Einigung (Auflassung) und Eintragung.</w:t>
      </w:r>
    </w:p>
    <w:p w14:paraId="0E27B00A" w14:textId="77777777" w:rsidR="00B31168" w:rsidRPr="00A5215F" w:rsidRDefault="00B31168" w:rsidP="00B31168">
      <w:pPr>
        <w:jc w:val="both"/>
        <w:rPr>
          <w:color w:val="000000"/>
          <w:sz w:val="22"/>
          <w:szCs w:val="22"/>
          <w:lang w:val="de-DE"/>
        </w:rPr>
      </w:pPr>
    </w:p>
    <w:p w14:paraId="1A96F16B" w14:textId="77777777" w:rsidR="00B31168" w:rsidRPr="00A5215F" w:rsidRDefault="00B31168" w:rsidP="00B31168">
      <w:pPr>
        <w:jc w:val="both"/>
        <w:rPr>
          <w:b/>
          <w:color w:val="000000"/>
          <w:sz w:val="22"/>
          <w:szCs w:val="22"/>
          <w:lang w:val="de-DE"/>
        </w:rPr>
      </w:pPr>
      <w:r w:rsidRPr="00A5215F">
        <w:rPr>
          <w:b/>
          <w:color w:val="000000"/>
          <w:sz w:val="22"/>
          <w:szCs w:val="22"/>
          <w:lang w:val="de-DE"/>
        </w:rPr>
        <w:t>1. Auflassung</w:t>
      </w:r>
    </w:p>
    <w:p w14:paraId="33449D48" w14:textId="77777777" w:rsidR="00B31168" w:rsidRPr="00A5215F" w:rsidRDefault="00B31168" w:rsidP="00B31168">
      <w:pPr>
        <w:jc w:val="both"/>
        <w:rPr>
          <w:color w:val="000000"/>
          <w:sz w:val="22"/>
          <w:szCs w:val="22"/>
          <w:lang w:val="de-DE"/>
        </w:rPr>
      </w:pPr>
      <w:r w:rsidRPr="00A5215F">
        <w:rPr>
          <w:color w:val="000000"/>
          <w:sz w:val="22"/>
          <w:szCs w:val="22"/>
          <w:lang w:val="de-DE"/>
        </w:rPr>
        <w:t>Fraglich ist, ob die wirksame Einigung nach § 925 Abs. 1 S. 1 BGB formwirksam ist. Diese muss bei gleichzeitiger Anwesenheit beider Parteien vor einer zuständigen Stelle, wie dem Notar, erklärt werden. Vorliegend wurde sie vor einem Notar erklärt.  Zum Zeitpunkt der Einigung war E noch voll geschäftsfähig. Daher kam eine wirksame Einigung zwischen E und K zustande, die notariell beurkundet wurde. Eine Auflassung lag somit vor. E ist insoweit an die Einigung gebunden (§ 873 Abs. 2 BGB). Sie kann daher nicht mehr einseitig widerrufen werden.</w:t>
      </w:r>
    </w:p>
    <w:p w14:paraId="60061E4C" w14:textId="77777777" w:rsidR="00B31168" w:rsidRPr="00A5215F" w:rsidRDefault="00B31168" w:rsidP="00B31168">
      <w:pPr>
        <w:jc w:val="both"/>
        <w:rPr>
          <w:color w:val="000000"/>
          <w:sz w:val="22"/>
          <w:szCs w:val="22"/>
          <w:lang w:val="de-DE"/>
        </w:rPr>
      </w:pPr>
    </w:p>
    <w:p w14:paraId="7D5070FA" w14:textId="77777777" w:rsidR="00B31168" w:rsidRPr="00A5215F" w:rsidRDefault="00B31168" w:rsidP="00B31168">
      <w:pPr>
        <w:jc w:val="both"/>
        <w:rPr>
          <w:b/>
          <w:color w:val="000000"/>
          <w:sz w:val="22"/>
          <w:szCs w:val="22"/>
          <w:lang w:val="de-DE"/>
        </w:rPr>
      </w:pPr>
      <w:r w:rsidRPr="00A5215F">
        <w:rPr>
          <w:b/>
          <w:color w:val="000000"/>
          <w:sz w:val="22"/>
          <w:szCs w:val="22"/>
          <w:lang w:val="de-DE"/>
        </w:rPr>
        <w:t>2. Eintragung</w:t>
      </w:r>
    </w:p>
    <w:p w14:paraId="4A2DA6C2" w14:textId="441651FC" w:rsidR="00B31168" w:rsidRPr="00A5215F" w:rsidRDefault="00B31168" w:rsidP="00B31168">
      <w:pPr>
        <w:jc w:val="both"/>
        <w:rPr>
          <w:color w:val="000000"/>
          <w:sz w:val="22"/>
          <w:szCs w:val="22"/>
          <w:lang w:val="de-DE"/>
        </w:rPr>
      </w:pPr>
      <w:r w:rsidRPr="7EE6BD28">
        <w:rPr>
          <w:color w:val="000000" w:themeColor="text1"/>
          <w:sz w:val="22"/>
          <w:szCs w:val="22"/>
          <w:lang w:val="de-DE"/>
        </w:rPr>
        <w:t>K wurde als Eigentümerin ins Grundbuch eingetragen.</w:t>
      </w:r>
    </w:p>
    <w:p w14:paraId="44EAFD9C" w14:textId="77777777" w:rsidR="00B31168" w:rsidRPr="00A5215F" w:rsidRDefault="00B31168" w:rsidP="00B31168">
      <w:pPr>
        <w:jc w:val="both"/>
        <w:rPr>
          <w:color w:val="000000"/>
          <w:sz w:val="22"/>
          <w:szCs w:val="22"/>
          <w:lang w:val="de-DE"/>
        </w:rPr>
      </w:pPr>
    </w:p>
    <w:p w14:paraId="3CA498FC" w14:textId="77777777" w:rsidR="00B31168" w:rsidRPr="00A5215F" w:rsidRDefault="00B31168" w:rsidP="00B31168">
      <w:pPr>
        <w:jc w:val="both"/>
        <w:rPr>
          <w:b/>
          <w:color w:val="000000"/>
          <w:sz w:val="22"/>
          <w:szCs w:val="22"/>
          <w:lang w:val="de-DE"/>
        </w:rPr>
      </w:pPr>
      <w:r w:rsidRPr="00A5215F">
        <w:rPr>
          <w:b/>
          <w:color w:val="000000"/>
          <w:sz w:val="22"/>
          <w:szCs w:val="22"/>
          <w:lang w:val="de-DE"/>
        </w:rPr>
        <w:t>3. Einigsein im Zeitpunkt der Eintragung</w:t>
      </w:r>
    </w:p>
    <w:p w14:paraId="418E12AC" w14:textId="0614D771" w:rsidR="00B31168" w:rsidRPr="00A5215F" w:rsidRDefault="00B31168" w:rsidP="00B31168">
      <w:pPr>
        <w:jc w:val="both"/>
        <w:rPr>
          <w:color w:val="000000"/>
          <w:sz w:val="22"/>
          <w:szCs w:val="22"/>
          <w:lang w:val="de-DE"/>
        </w:rPr>
      </w:pPr>
      <w:r w:rsidRPr="7EE6BD28">
        <w:rPr>
          <w:color w:val="000000" w:themeColor="text1"/>
          <w:sz w:val="22"/>
          <w:szCs w:val="22"/>
          <w:lang w:val="de-DE"/>
        </w:rPr>
        <w:t xml:space="preserve">E und K müssten sich auch im Zeitpunkt der Eintragung noch einig gewesen sein. Hieran könnte es fehlen, wenn die Betreuerin der E dessen Willenserklärung wirksam widerrufen hat. Da die Auflassung selbst jedoch notariell beurkundet wurde, ist gem. § 873 Abs. 2 BGB ein einseitiger Widerruf dieser nicht mehr möglich und E ist an diese gebunden. Somit waren sich E und K auch im Zeitpunkt der Grundbuchseintragung noch einig. </w:t>
      </w:r>
    </w:p>
    <w:p w14:paraId="30739D46" w14:textId="77777777" w:rsidR="00B31168" w:rsidRPr="00A5215F" w:rsidRDefault="00B31168" w:rsidP="00B31168">
      <w:pPr>
        <w:jc w:val="both"/>
        <w:rPr>
          <w:b/>
          <w:color w:val="000000"/>
          <w:sz w:val="22"/>
          <w:szCs w:val="22"/>
          <w:lang w:val="de-DE"/>
        </w:rPr>
      </w:pPr>
      <w:r w:rsidRPr="00A5215F">
        <w:rPr>
          <w:b/>
          <w:color w:val="000000"/>
          <w:sz w:val="22"/>
          <w:szCs w:val="22"/>
          <w:lang w:val="de-DE"/>
        </w:rPr>
        <w:lastRenderedPageBreak/>
        <w:t>4. Berechtigung</w:t>
      </w:r>
    </w:p>
    <w:p w14:paraId="2E846113" w14:textId="3A9E157A" w:rsidR="00B31168" w:rsidRPr="00A5215F" w:rsidRDefault="00B31168" w:rsidP="00B31168">
      <w:pPr>
        <w:jc w:val="both"/>
        <w:rPr>
          <w:color w:val="000000"/>
          <w:sz w:val="22"/>
          <w:szCs w:val="22"/>
          <w:lang w:val="de-DE"/>
        </w:rPr>
      </w:pPr>
      <w:r w:rsidRPr="7EE6BD28">
        <w:rPr>
          <w:color w:val="000000" w:themeColor="text1"/>
          <w:sz w:val="22"/>
          <w:szCs w:val="22"/>
          <w:lang w:val="de-DE"/>
        </w:rPr>
        <w:t xml:space="preserve">Als Eigentümerin ohne Verfügungsbeschränkungen war E zur Übereignung an K berechtigt. </w:t>
      </w:r>
    </w:p>
    <w:p w14:paraId="757ECA72"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Ein wirksamer Eigentumserwerb von E an K gem. §§ 873, 925 Abs. 1 BGB hat stattgefunden. </w:t>
      </w:r>
    </w:p>
    <w:p w14:paraId="4B94D5A5" w14:textId="77777777" w:rsidR="00B31168" w:rsidRPr="00A5215F" w:rsidRDefault="00B31168" w:rsidP="00B31168">
      <w:pPr>
        <w:jc w:val="both"/>
        <w:rPr>
          <w:color w:val="000000"/>
          <w:sz w:val="22"/>
          <w:szCs w:val="22"/>
          <w:lang w:val="de-DE"/>
        </w:rPr>
      </w:pPr>
    </w:p>
    <w:p w14:paraId="42EE4AF2" w14:textId="77777777" w:rsidR="00B31168" w:rsidRPr="00A5215F" w:rsidRDefault="00B31168" w:rsidP="00B31168">
      <w:pPr>
        <w:jc w:val="both"/>
        <w:rPr>
          <w:b/>
          <w:color w:val="000000"/>
          <w:sz w:val="22"/>
          <w:szCs w:val="22"/>
          <w:lang w:val="de-DE"/>
        </w:rPr>
      </w:pPr>
      <w:r w:rsidRPr="00A5215F">
        <w:rPr>
          <w:b/>
          <w:color w:val="000000"/>
          <w:sz w:val="22"/>
          <w:szCs w:val="22"/>
          <w:lang w:val="de-DE"/>
        </w:rPr>
        <w:t>II. Formelle Rechtslage</w:t>
      </w:r>
    </w:p>
    <w:p w14:paraId="0277DFB3" w14:textId="5217D9D9" w:rsidR="00B31168" w:rsidRPr="00A5215F" w:rsidRDefault="00B31168" w:rsidP="00B31168">
      <w:pPr>
        <w:jc w:val="both"/>
        <w:rPr>
          <w:color w:val="000000"/>
          <w:sz w:val="22"/>
          <w:szCs w:val="22"/>
          <w:lang w:val="de-DE"/>
        </w:rPr>
      </w:pPr>
      <w:r w:rsidRPr="7EE6BD28">
        <w:rPr>
          <w:color w:val="000000" w:themeColor="text1"/>
          <w:sz w:val="22"/>
          <w:szCs w:val="22"/>
          <w:lang w:val="de-DE"/>
        </w:rPr>
        <w:t>K ist als Eigentümerin eingetragen.</w:t>
      </w:r>
    </w:p>
    <w:p w14:paraId="3DEEC669" w14:textId="77777777" w:rsidR="00B31168" w:rsidRPr="00A5215F" w:rsidRDefault="00B31168" w:rsidP="00B31168">
      <w:pPr>
        <w:jc w:val="both"/>
        <w:rPr>
          <w:color w:val="000000"/>
          <w:sz w:val="22"/>
          <w:szCs w:val="22"/>
          <w:lang w:val="de-DE"/>
        </w:rPr>
      </w:pPr>
    </w:p>
    <w:p w14:paraId="6B670F3E" w14:textId="77777777" w:rsidR="00B31168" w:rsidRPr="00A5215F" w:rsidRDefault="00B31168" w:rsidP="00B31168">
      <w:pPr>
        <w:rPr>
          <w:b/>
          <w:color w:val="000000"/>
          <w:sz w:val="22"/>
          <w:szCs w:val="22"/>
          <w:lang w:val="de-DE"/>
        </w:rPr>
      </w:pPr>
      <w:r w:rsidRPr="00A5215F">
        <w:rPr>
          <w:b/>
          <w:color w:val="000000"/>
          <w:sz w:val="22"/>
          <w:szCs w:val="22"/>
          <w:lang w:val="de-DE"/>
        </w:rPr>
        <w:t>III. Ergebnis</w:t>
      </w:r>
    </w:p>
    <w:p w14:paraId="64A78B4B" w14:textId="77777777" w:rsidR="00B31168" w:rsidRPr="00A5215F" w:rsidRDefault="00B31168" w:rsidP="00B31168">
      <w:pPr>
        <w:jc w:val="both"/>
        <w:rPr>
          <w:color w:val="000000"/>
          <w:sz w:val="22"/>
          <w:szCs w:val="22"/>
          <w:lang w:val="de-DE"/>
        </w:rPr>
      </w:pPr>
      <w:r w:rsidRPr="00A5215F">
        <w:rPr>
          <w:color w:val="000000"/>
          <w:sz w:val="22"/>
          <w:szCs w:val="22"/>
          <w:lang w:val="de-DE"/>
        </w:rPr>
        <w:t>Die formelle Grundbuchlage und die materielle Rechtslage stimmen überein, so dass das Grundbuch richtig ist. Ein Anspruch auf Zustimmung zur Grundbuchberichtigung gem. § 894 BGB besteht mithin nicht.</w:t>
      </w:r>
    </w:p>
    <w:p w14:paraId="3656B9AB" w14:textId="77777777" w:rsidR="00B31168" w:rsidRPr="00A5215F" w:rsidRDefault="00B31168" w:rsidP="00063444">
      <w:pPr>
        <w:jc w:val="both"/>
        <w:rPr>
          <w:sz w:val="22"/>
          <w:szCs w:val="22"/>
          <w:lang w:val="de-DE"/>
        </w:rPr>
      </w:pPr>
    </w:p>
    <w:p w14:paraId="45FB0818" w14:textId="77777777" w:rsidR="00063444" w:rsidRPr="00A5215F" w:rsidRDefault="00063444" w:rsidP="00063444">
      <w:pPr>
        <w:jc w:val="both"/>
        <w:rPr>
          <w:sz w:val="22"/>
          <w:szCs w:val="22"/>
          <w:lang w:val="de-DE"/>
        </w:rPr>
      </w:pPr>
    </w:p>
    <w:p w14:paraId="2B4A7BE2" w14:textId="77777777" w:rsidR="00063444" w:rsidRPr="00A5215F" w:rsidRDefault="00063444" w:rsidP="00063444">
      <w:pPr>
        <w:jc w:val="both"/>
        <w:rPr>
          <w:b/>
          <w:sz w:val="22"/>
          <w:szCs w:val="22"/>
          <w:u w:val="single"/>
          <w:lang w:val="de-DE"/>
        </w:rPr>
      </w:pPr>
      <w:r w:rsidRPr="00A5215F">
        <w:rPr>
          <w:b/>
          <w:sz w:val="22"/>
          <w:szCs w:val="22"/>
          <w:u w:val="single"/>
          <w:lang w:val="de-DE"/>
        </w:rPr>
        <w:t>Fall 3</w:t>
      </w:r>
    </w:p>
    <w:p w14:paraId="049F31CB" w14:textId="77777777" w:rsidR="00063444" w:rsidRPr="00A5215F" w:rsidRDefault="00063444" w:rsidP="00063444">
      <w:pPr>
        <w:rPr>
          <w:sz w:val="22"/>
          <w:szCs w:val="22"/>
          <w:lang w:val="de-DE"/>
        </w:rPr>
      </w:pPr>
    </w:p>
    <w:p w14:paraId="3BA273A1" w14:textId="77777777" w:rsidR="00B31168" w:rsidRPr="00A5215F" w:rsidRDefault="00B31168" w:rsidP="00B31168">
      <w:pPr>
        <w:jc w:val="both"/>
        <w:rPr>
          <w:color w:val="000000"/>
          <w:sz w:val="22"/>
          <w:szCs w:val="22"/>
          <w:lang w:val="de-DE"/>
        </w:rPr>
      </w:pPr>
      <w:r w:rsidRPr="00A5215F">
        <w:rPr>
          <w:color w:val="000000"/>
          <w:sz w:val="22"/>
          <w:szCs w:val="22"/>
          <w:lang w:val="de-DE"/>
        </w:rPr>
        <w:t>Für eine Übereignung sind Einigung (Auflassung) und Eintragung erforderlich. Eine Einigung in der Form des § 925 BGB liegt vor. Für die erforderliche Eintragung bestimmt die GBO, dass ein entsprechender Antrag (§ 13 GBO), der Nachweis der Auflassung (§ 20 GBO) in der Form des § 29 GBO und die Voreintragung des Veräußerers im Grundbuch (§ 39 GBO) vorliegen müssen.</w:t>
      </w:r>
    </w:p>
    <w:p w14:paraId="53128261" w14:textId="77777777" w:rsidR="00063444" w:rsidRDefault="00063444" w:rsidP="00063444">
      <w:pPr>
        <w:jc w:val="both"/>
        <w:rPr>
          <w:sz w:val="22"/>
          <w:szCs w:val="22"/>
          <w:lang w:val="de-DE"/>
        </w:rPr>
      </w:pPr>
    </w:p>
    <w:p w14:paraId="62486C05" w14:textId="77777777" w:rsidR="00A5215F" w:rsidRPr="00A5215F" w:rsidRDefault="00A5215F" w:rsidP="00063444">
      <w:pPr>
        <w:jc w:val="both"/>
        <w:rPr>
          <w:sz w:val="22"/>
          <w:szCs w:val="22"/>
          <w:lang w:val="de-DE"/>
        </w:rPr>
      </w:pPr>
    </w:p>
    <w:p w14:paraId="5E803ACC" w14:textId="77777777" w:rsidR="00063444" w:rsidRPr="00A5215F" w:rsidRDefault="00063444" w:rsidP="00063444">
      <w:pPr>
        <w:jc w:val="both"/>
        <w:rPr>
          <w:b/>
          <w:sz w:val="22"/>
          <w:szCs w:val="22"/>
          <w:u w:val="single"/>
          <w:lang w:val="de-DE"/>
        </w:rPr>
      </w:pPr>
      <w:r w:rsidRPr="00A5215F">
        <w:rPr>
          <w:b/>
          <w:sz w:val="22"/>
          <w:szCs w:val="22"/>
          <w:u w:val="single"/>
          <w:lang w:val="de-DE"/>
        </w:rPr>
        <w:t>Fall 4</w:t>
      </w:r>
    </w:p>
    <w:p w14:paraId="4101652C" w14:textId="77777777" w:rsidR="00063444" w:rsidRPr="00A5215F" w:rsidRDefault="00063444" w:rsidP="00063444">
      <w:pPr>
        <w:jc w:val="both"/>
        <w:rPr>
          <w:b/>
          <w:sz w:val="22"/>
          <w:szCs w:val="22"/>
          <w:u w:val="single"/>
          <w:lang w:val="de-DE"/>
        </w:rPr>
      </w:pPr>
    </w:p>
    <w:p w14:paraId="716D8FE3"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K ist Eigentümer des Grundstücks geworden, wenn die Voraussetzungen der §§ 873, 925 BGB vorliegen. </w:t>
      </w:r>
    </w:p>
    <w:p w14:paraId="4B99056E" w14:textId="77777777" w:rsidR="00B31168" w:rsidRPr="00A5215F" w:rsidRDefault="00B31168" w:rsidP="00B31168">
      <w:pPr>
        <w:jc w:val="both"/>
        <w:rPr>
          <w:color w:val="000000"/>
          <w:sz w:val="22"/>
          <w:szCs w:val="22"/>
          <w:lang w:val="de-DE"/>
        </w:rPr>
      </w:pPr>
    </w:p>
    <w:p w14:paraId="2E8FBA79" w14:textId="77777777" w:rsidR="00B31168" w:rsidRPr="00A5215F" w:rsidRDefault="00B31168" w:rsidP="00B31168">
      <w:pPr>
        <w:jc w:val="both"/>
        <w:rPr>
          <w:b/>
          <w:color w:val="000000"/>
          <w:sz w:val="22"/>
          <w:szCs w:val="22"/>
          <w:lang w:val="de-DE"/>
        </w:rPr>
      </w:pPr>
      <w:r w:rsidRPr="00A5215F">
        <w:rPr>
          <w:b/>
          <w:color w:val="000000"/>
          <w:sz w:val="22"/>
          <w:szCs w:val="22"/>
          <w:lang w:val="de-DE"/>
        </w:rPr>
        <w:t>I. Einigung</w:t>
      </w:r>
    </w:p>
    <w:p w14:paraId="24F73926" w14:textId="77777777" w:rsidR="00B31168" w:rsidRPr="00A5215F" w:rsidRDefault="00B31168" w:rsidP="00B31168">
      <w:pPr>
        <w:jc w:val="both"/>
        <w:rPr>
          <w:color w:val="000000"/>
          <w:sz w:val="22"/>
          <w:szCs w:val="22"/>
          <w:lang w:val="de-DE"/>
        </w:rPr>
      </w:pPr>
      <w:r w:rsidRPr="00A5215F">
        <w:rPr>
          <w:color w:val="000000"/>
          <w:sz w:val="22"/>
          <w:szCs w:val="22"/>
          <w:lang w:val="de-DE"/>
        </w:rPr>
        <w:t>Die nach § 873 Abs. 1 BGB erforderliche dingliche Einigung zwischen E und K hat stattgefunden.</w:t>
      </w:r>
    </w:p>
    <w:p w14:paraId="1299C43A" w14:textId="77777777" w:rsidR="00B31168" w:rsidRPr="00A5215F" w:rsidRDefault="00B31168" w:rsidP="00B31168">
      <w:pPr>
        <w:jc w:val="both"/>
        <w:rPr>
          <w:color w:val="000000"/>
          <w:sz w:val="22"/>
          <w:szCs w:val="22"/>
          <w:lang w:val="de-DE"/>
        </w:rPr>
      </w:pPr>
    </w:p>
    <w:p w14:paraId="4B01EB69" w14:textId="77777777" w:rsidR="00B31168" w:rsidRPr="00A5215F" w:rsidRDefault="00B31168" w:rsidP="00B31168">
      <w:pPr>
        <w:jc w:val="both"/>
        <w:rPr>
          <w:b/>
          <w:color w:val="000000"/>
          <w:sz w:val="22"/>
          <w:szCs w:val="22"/>
          <w:lang w:val="de-DE"/>
        </w:rPr>
      </w:pPr>
      <w:r w:rsidRPr="00A5215F">
        <w:rPr>
          <w:b/>
          <w:color w:val="000000"/>
          <w:sz w:val="22"/>
          <w:szCs w:val="22"/>
          <w:lang w:val="de-DE"/>
        </w:rPr>
        <w:t>II. Eintragung</w:t>
      </w:r>
    </w:p>
    <w:p w14:paraId="3C961B05" w14:textId="77777777" w:rsidR="00B31168" w:rsidRPr="00A5215F" w:rsidRDefault="00B31168" w:rsidP="00B31168">
      <w:pPr>
        <w:jc w:val="both"/>
        <w:rPr>
          <w:color w:val="000000"/>
          <w:sz w:val="22"/>
          <w:szCs w:val="22"/>
          <w:lang w:val="de-DE"/>
        </w:rPr>
      </w:pPr>
      <w:r w:rsidRPr="00A5215F">
        <w:rPr>
          <w:color w:val="000000"/>
          <w:sz w:val="22"/>
          <w:szCs w:val="22"/>
          <w:lang w:val="de-DE"/>
        </w:rPr>
        <w:t>Eine Eintragung der Eigentümerstellung des K ist erfolgt.</w:t>
      </w:r>
    </w:p>
    <w:p w14:paraId="4DDBEF00" w14:textId="77777777" w:rsidR="00B31168" w:rsidRPr="00A5215F" w:rsidRDefault="00B31168" w:rsidP="00B31168">
      <w:pPr>
        <w:jc w:val="both"/>
        <w:rPr>
          <w:color w:val="000000"/>
          <w:sz w:val="22"/>
          <w:szCs w:val="22"/>
          <w:lang w:val="de-DE"/>
        </w:rPr>
      </w:pPr>
    </w:p>
    <w:p w14:paraId="73A959DD" w14:textId="77777777" w:rsidR="00B31168" w:rsidRPr="00A5215F" w:rsidRDefault="00B31168" w:rsidP="00B31168">
      <w:pPr>
        <w:jc w:val="both"/>
        <w:rPr>
          <w:b/>
          <w:color w:val="000000"/>
          <w:sz w:val="22"/>
          <w:szCs w:val="22"/>
          <w:lang w:val="de-DE"/>
        </w:rPr>
      </w:pPr>
      <w:r w:rsidRPr="00A5215F">
        <w:rPr>
          <w:b/>
          <w:color w:val="000000"/>
          <w:sz w:val="22"/>
          <w:szCs w:val="22"/>
          <w:lang w:val="de-DE"/>
        </w:rPr>
        <w:t>III. Verfügungsbefugnis</w:t>
      </w:r>
    </w:p>
    <w:p w14:paraId="717F19FF"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Als Eigentümer des Grundstücks war E grundsätzlich zur Übereignung berechtigt. </w:t>
      </w:r>
    </w:p>
    <w:p w14:paraId="5CBB826A" w14:textId="77777777" w:rsidR="00B31168" w:rsidRPr="00A5215F" w:rsidRDefault="00B31168" w:rsidP="00B31168">
      <w:pPr>
        <w:jc w:val="both"/>
        <w:rPr>
          <w:color w:val="000000"/>
          <w:sz w:val="22"/>
          <w:szCs w:val="22"/>
          <w:lang w:val="de-DE"/>
        </w:rPr>
      </w:pPr>
      <w:r w:rsidRPr="00A5215F">
        <w:rPr>
          <w:color w:val="000000"/>
          <w:sz w:val="22"/>
          <w:szCs w:val="22"/>
          <w:lang w:val="de-DE"/>
        </w:rPr>
        <w:t>Fraglich ist, ob durch die Eintragung des Insolvenzvermerks im Grundbuch eine Übereignung des Grundstücks an den K mangels Verfügungsbefugnis des E verhindert wird.</w:t>
      </w:r>
    </w:p>
    <w:p w14:paraId="44A2497F"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 878, 873 Abs. 2 BGB bestimmen, dass eine Verfügungsbeschränkung dann unerheblich ist, wenn die Beteiligten ihrerseits alles für den Erwerb Erforderliche getan haben, also die Auflassung vorliegt und die Eintragung beantragt wurde. Dies ist im vorliegenden Fall gegeben. </w:t>
      </w:r>
    </w:p>
    <w:p w14:paraId="3461D779" w14:textId="77777777" w:rsidR="00B31168" w:rsidRPr="00A5215F" w:rsidRDefault="00B31168" w:rsidP="00B31168">
      <w:pPr>
        <w:jc w:val="both"/>
        <w:rPr>
          <w:color w:val="000000"/>
          <w:sz w:val="22"/>
          <w:szCs w:val="22"/>
          <w:lang w:val="de-DE"/>
        </w:rPr>
      </w:pPr>
    </w:p>
    <w:p w14:paraId="7D3B8BB3" w14:textId="77777777" w:rsidR="00B31168" w:rsidRPr="00A5215F" w:rsidRDefault="00B31168" w:rsidP="00B31168">
      <w:pPr>
        <w:jc w:val="both"/>
        <w:rPr>
          <w:b/>
          <w:color w:val="000000"/>
          <w:sz w:val="22"/>
          <w:szCs w:val="22"/>
          <w:lang w:val="de-DE"/>
        </w:rPr>
      </w:pPr>
      <w:r w:rsidRPr="00A5215F">
        <w:rPr>
          <w:b/>
          <w:color w:val="000000"/>
          <w:sz w:val="22"/>
          <w:szCs w:val="22"/>
          <w:lang w:val="de-DE"/>
        </w:rPr>
        <w:t>IV. Ergebnis</w:t>
      </w:r>
    </w:p>
    <w:p w14:paraId="2380C7D7" w14:textId="77777777" w:rsidR="00B31168" w:rsidRPr="00A5215F" w:rsidRDefault="00B31168" w:rsidP="00B31168">
      <w:pPr>
        <w:jc w:val="both"/>
        <w:rPr>
          <w:color w:val="000000"/>
          <w:sz w:val="22"/>
          <w:szCs w:val="22"/>
          <w:lang w:val="de-DE"/>
        </w:rPr>
      </w:pPr>
      <w:r w:rsidRPr="00A5215F">
        <w:rPr>
          <w:color w:val="000000"/>
          <w:sz w:val="22"/>
          <w:szCs w:val="22"/>
          <w:lang w:val="de-DE"/>
        </w:rPr>
        <w:t>K ist mit der Eintragung Eigentümer des Grundstücks geworden.</w:t>
      </w:r>
    </w:p>
    <w:p w14:paraId="3CF2D8B6" w14:textId="77777777" w:rsidR="00B31168" w:rsidRDefault="00B31168" w:rsidP="00063444">
      <w:pPr>
        <w:jc w:val="both"/>
        <w:rPr>
          <w:b/>
          <w:sz w:val="22"/>
          <w:szCs w:val="22"/>
          <w:u w:val="single"/>
          <w:lang w:val="de-DE"/>
        </w:rPr>
      </w:pPr>
    </w:p>
    <w:p w14:paraId="0FB78278" w14:textId="77777777" w:rsidR="00A5215F" w:rsidRPr="00A5215F" w:rsidRDefault="00A5215F" w:rsidP="00063444">
      <w:pPr>
        <w:jc w:val="both"/>
        <w:rPr>
          <w:b/>
          <w:sz w:val="22"/>
          <w:szCs w:val="22"/>
          <w:u w:val="single"/>
          <w:lang w:val="de-DE"/>
        </w:rPr>
      </w:pPr>
    </w:p>
    <w:p w14:paraId="36DFF9CC" w14:textId="77777777" w:rsidR="00063444" w:rsidRPr="00A5215F" w:rsidRDefault="00063444" w:rsidP="00063444">
      <w:pPr>
        <w:jc w:val="both"/>
        <w:rPr>
          <w:b/>
          <w:sz w:val="22"/>
          <w:szCs w:val="22"/>
          <w:lang w:val="de-DE"/>
        </w:rPr>
      </w:pPr>
      <w:r w:rsidRPr="00A5215F">
        <w:rPr>
          <w:b/>
          <w:sz w:val="22"/>
          <w:szCs w:val="22"/>
          <w:u w:val="single"/>
          <w:lang w:val="de-DE"/>
        </w:rPr>
        <w:t>Fall 5</w:t>
      </w:r>
    </w:p>
    <w:p w14:paraId="1FC39945" w14:textId="77777777" w:rsidR="00063444" w:rsidRPr="00A5215F" w:rsidRDefault="00063444" w:rsidP="00063444">
      <w:pPr>
        <w:jc w:val="both"/>
        <w:rPr>
          <w:b/>
          <w:sz w:val="22"/>
          <w:szCs w:val="22"/>
          <w:u w:val="single"/>
          <w:lang w:val="de-DE"/>
        </w:rPr>
      </w:pPr>
    </w:p>
    <w:p w14:paraId="61A87B44" w14:textId="77777777" w:rsidR="00B31168" w:rsidRPr="00A5215F" w:rsidRDefault="00B31168" w:rsidP="00B31168">
      <w:pPr>
        <w:jc w:val="both"/>
        <w:rPr>
          <w:color w:val="000000"/>
          <w:sz w:val="22"/>
          <w:szCs w:val="22"/>
          <w:lang w:val="de-DE"/>
        </w:rPr>
      </w:pPr>
      <w:r w:rsidRPr="00A5215F">
        <w:rPr>
          <w:color w:val="000000"/>
          <w:sz w:val="22"/>
          <w:szCs w:val="22"/>
          <w:lang w:val="de-DE"/>
        </w:rPr>
        <w:t>E könnte gegen D einen Anspruch aus § 894 BGB auf Zustimmung der Wiedereintragung als Eigentümer haben, wenn die formelle Grundbuchlage nicht mit der materiellen Rechtslage übereinstimmt, D das Grundstück also nicht wirksam erworben hat.</w:t>
      </w:r>
    </w:p>
    <w:p w14:paraId="0562CB0E" w14:textId="77777777" w:rsidR="00B31168" w:rsidRPr="00A5215F" w:rsidRDefault="00B31168" w:rsidP="00B31168">
      <w:pPr>
        <w:jc w:val="both"/>
        <w:rPr>
          <w:color w:val="000000"/>
          <w:sz w:val="22"/>
          <w:szCs w:val="22"/>
          <w:lang w:val="de-DE"/>
        </w:rPr>
      </w:pPr>
    </w:p>
    <w:p w14:paraId="1B620A4C" w14:textId="77777777" w:rsidR="00B31168" w:rsidRPr="00A5215F" w:rsidRDefault="00B31168" w:rsidP="00B31168">
      <w:pPr>
        <w:jc w:val="both"/>
        <w:rPr>
          <w:b/>
          <w:color w:val="000000"/>
          <w:sz w:val="22"/>
          <w:szCs w:val="22"/>
          <w:lang w:val="de-DE"/>
        </w:rPr>
      </w:pPr>
      <w:r w:rsidRPr="00A5215F">
        <w:rPr>
          <w:b/>
          <w:color w:val="000000"/>
          <w:sz w:val="22"/>
          <w:szCs w:val="22"/>
          <w:lang w:val="de-DE"/>
        </w:rPr>
        <w:t>I. Eigentumslage</w:t>
      </w:r>
    </w:p>
    <w:p w14:paraId="47E63816" w14:textId="77777777" w:rsidR="00B31168" w:rsidRPr="00A5215F" w:rsidRDefault="00B31168" w:rsidP="00B31168">
      <w:pPr>
        <w:jc w:val="both"/>
        <w:rPr>
          <w:color w:val="000000"/>
          <w:sz w:val="22"/>
          <w:szCs w:val="22"/>
          <w:lang w:val="de-DE"/>
        </w:rPr>
      </w:pPr>
      <w:r w:rsidRPr="00A5215F">
        <w:rPr>
          <w:color w:val="000000"/>
          <w:sz w:val="22"/>
          <w:szCs w:val="22"/>
          <w:lang w:val="de-DE"/>
        </w:rPr>
        <w:t>E müsste zum Zeitpunkt der Geltendmachung des Anspruchs noch Eigentümer des Grundstücks sein.</w:t>
      </w:r>
    </w:p>
    <w:p w14:paraId="34CE0A41" w14:textId="77777777" w:rsidR="00B31168" w:rsidRPr="00A5215F" w:rsidRDefault="00B31168" w:rsidP="00B31168">
      <w:pPr>
        <w:jc w:val="both"/>
        <w:rPr>
          <w:color w:val="000000"/>
          <w:sz w:val="22"/>
          <w:szCs w:val="22"/>
          <w:lang w:val="de-DE"/>
        </w:rPr>
      </w:pPr>
    </w:p>
    <w:p w14:paraId="2CBC49C6" w14:textId="77777777" w:rsidR="00B31168" w:rsidRPr="00A5215F" w:rsidRDefault="00B31168" w:rsidP="00B31168">
      <w:pPr>
        <w:jc w:val="both"/>
        <w:rPr>
          <w:b/>
          <w:color w:val="000000"/>
          <w:sz w:val="22"/>
          <w:szCs w:val="22"/>
          <w:lang w:val="de-DE"/>
        </w:rPr>
      </w:pPr>
      <w:r w:rsidRPr="00A5215F">
        <w:rPr>
          <w:b/>
          <w:color w:val="000000"/>
          <w:sz w:val="22"/>
          <w:szCs w:val="22"/>
          <w:lang w:val="de-DE"/>
        </w:rPr>
        <w:t>1. Eigentumserwerb des K von E</w:t>
      </w:r>
    </w:p>
    <w:p w14:paraId="2ED22C9C" w14:textId="77777777" w:rsidR="00B31168" w:rsidRPr="00A5215F" w:rsidRDefault="00B31168" w:rsidP="00B31168">
      <w:pPr>
        <w:jc w:val="both"/>
        <w:rPr>
          <w:color w:val="000000"/>
          <w:sz w:val="22"/>
          <w:szCs w:val="22"/>
          <w:lang w:val="de-DE"/>
        </w:rPr>
      </w:pPr>
      <w:r w:rsidRPr="00A5215F">
        <w:rPr>
          <w:color w:val="000000"/>
          <w:sz w:val="22"/>
          <w:szCs w:val="22"/>
          <w:lang w:val="de-DE"/>
        </w:rPr>
        <w:t>Er könnte sein Eigentum durch Übereignung gem. §§ 873, 925 BGB an den K verloren haben.</w:t>
      </w:r>
    </w:p>
    <w:p w14:paraId="285DCF5C"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Durch die Anfechtung der Auflassung ist diese gem. § 142 Abs. 1 BGB ex tunc nichtig, K hat also kein </w:t>
      </w:r>
      <w:r w:rsidRPr="00A5215F">
        <w:rPr>
          <w:color w:val="000000"/>
          <w:sz w:val="22"/>
          <w:szCs w:val="22"/>
          <w:lang w:val="de-DE"/>
        </w:rPr>
        <w:lastRenderedPageBreak/>
        <w:t xml:space="preserve">Eigentum erworben. </w:t>
      </w:r>
    </w:p>
    <w:p w14:paraId="62EBF3C5" w14:textId="77777777" w:rsidR="00B31168" w:rsidRPr="00A5215F" w:rsidRDefault="00B31168" w:rsidP="00B31168">
      <w:pPr>
        <w:jc w:val="both"/>
        <w:rPr>
          <w:color w:val="000000"/>
          <w:sz w:val="22"/>
          <w:szCs w:val="22"/>
          <w:lang w:val="de-DE"/>
        </w:rPr>
      </w:pPr>
    </w:p>
    <w:p w14:paraId="116F75EF" w14:textId="77777777" w:rsidR="00B31168" w:rsidRPr="00A5215F" w:rsidRDefault="00B31168" w:rsidP="00B31168">
      <w:pPr>
        <w:jc w:val="both"/>
        <w:rPr>
          <w:b/>
          <w:color w:val="000000"/>
          <w:sz w:val="22"/>
          <w:szCs w:val="22"/>
          <w:lang w:val="de-DE"/>
        </w:rPr>
      </w:pPr>
      <w:r w:rsidRPr="00A5215F">
        <w:rPr>
          <w:b/>
          <w:color w:val="000000"/>
          <w:sz w:val="22"/>
          <w:szCs w:val="22"/>
          <w:lang w:val="de-DE"/>
        </w:rPr>
        <w:t>2. Eigentumserwerb des D von E</w:t>
      </w:r>
    </w:p>
    <w:p w14:paraId="76428054" w14:textId="77777777" w:rsidR="00B31168" w:rsidRPr="00A5215F" w:rsidRDefault="00B31168" w:rsidP="00B31168">
      <w:pPr>
        <w:jc w:val="both"/>
        <w:rPr>
          <w:color w:val="000000"/>
          <w:sz w:val="22"/>
          <w:szCs w:val="22"/>
          <w:lang w:val="de-DE"/>
        </w:rPr>
      </w:pPr>
      <w:r w:rsidRPr="00A5215F">
        <w:rPr>
          <w:color w:val="000000"/>
          <w:sz w:val="22"/>
          <w:szCs w:val="22"/>
          <w:lang w:val="de-DE"/>
        </w:rPr>
        <w:t>E könnte sein Eigentum an den D verloren haben.</w:t>
      </w:r>
    </w:p>
    <w:p w14:paraId="3737464B" w14:textId="77777777" w:rsidR="00B31168" w:rsidRPr="00A5215F" w:rsidRDefault="00B31168" w:rsidP="00B31168">
      <w:pPr>
        <w:jc w:val="both"/>
        <w:rPr>
          <w:color w:val="000000"/>
          <w:sz w:val="22"/>
          <w:szCs w:val="22"/>
          <w:lang w:val="de-DE"/>
        </w:rPr>
      </w:pPr>
      <w:r w:rsidRPr="00A5215F">
        <w:rPr>
          <w:color w:val="000000"/>
          <w:sz w:val="22"/>
          <w:szCs w:val="22"/>
          <w:lang w:val="de-DE"/>
        </w:rPr>
        <w:t>Es fehlt jedoch bereits an einer Auflassung an den D seitens des berechtigten E.</w:t>
      </w:r>
    </w:p>
    <w:p w14:paraId="6D98A12B" w14:textId="77777777" w:rsidR="00B31168" w:rsidRPr="00A5215F" w:rsidRDefault="00B31168" w:rsidP="00B31168">
      <w:pPr>
        <w:jc w:val="both"/>
        <w:rPr>
          <w:color w:val="000000"/>
          <w:sz w:val="22"/>
          <w:szCs w:val="22"/>
          <w:lang w:val="de-DE"/>
        </w:rPr>
      </w:pPr>
    </w:p>
    <w:p w14:paraId="6046846B" w14:textId="77777777" w:rsidR="00B31168" w:rsidRPr="00A5215F" w:rsidRDefault="00B31168" w:rsidP="00B31168">
      <w:pPr>
        <w:jc w:val="both"/>
        <w:rPr>
          <w:b/>
          <w:color w:val="000000"/>
          <w:sz w:val="22"/>
          <w:szCs w:val="22"/>
          <w:lang w:val="de-DE"/>
        </w:rPr>
      </w:pPr>
      <w:r w:rsidRPr="00A5215F">
        <w:rPr>
          <w:b/>
          <w:color w:val="000000"/>
          <w:sz w:val="22"/>
          <w:szCs w:val="22"/>
          <w:lang w:val="de-DE"/>
        </w:rPr>
        <w:t>3. Eigentumserwerb des D von K</w:t>
      </w:r>
    </w:p>
    <w:p w14:paraId="2F8DAB20"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Fraglich ist, ob D das Grundstück gutgläubig vom nichtberechtigten K erworben hat gem. §§ 873 Abs. 1, 925, 892 BGB. </w:t>
      </w:r>
    </w:p>
    <w:p w14:paraId="2946DB82" w14:textId="77777777" w:rsidR="00B31168" w:rsidRPr="00A5215F" w:rsidRDefault="00B31168" w:rsidP="00B31168">
      <w:pPr>
        <w:jc w:val="both"/>
        <w:rPr>
          <w:color w:val="000000"/>
          <w:sz w:val="22"/>
          <w:szCs w:val="22"/>
          <w:lang w:val="de-DE"/>
        </w:rPr>
      </w:pPr>
    </w:p>
    <w:p w14:paraId="530BA289" w14:textId="77777777" w:rsidR="00B31168" w:rsidRPr="00A5215F" w:rsidRDefault="00B31168" w:rsidP="00B31168">
      <w:pPr>
        <w:jc w:val="both"/>
        <w:rPr>
          <w:b/>
          <w:color w:val="000000"/>
          <w:sz w:val="22"/>
          <w:szCs w:val="22"/>
          <w:lang w:val="de-DE"/>
        </w:rPr>
      </w:pPr>
      <w:r w:rsidRPr="00A5215F">
        <w:rPr>
          <w:b/>
          <w:color w:val="000000"/>
          <w:sz w:val="22"/>
          <w:szCs w:val="22"/>
          <w:lang w:val="de-DE"/>
        </w:rPr>
        <w:t>a) Voraussetzungen der §§ 873 Abs. 1, 925 BGB</w:t>
      </w:r>
    </w:p>
    <w:p w14:paraId="4A3A8ADE" w14:textId="77777777" w:rsidR="00B31168" w:rsidRPr="00A5215F" w:rsidRDefault="00B31168" w:rsidP="00B31168">
      <w:pPr>
        <w:jc w:val="both"/>
        <w:rPr>
          <w:color w:val="000000"/>
          <w:sz w:val="22"/>
          <w:szCs w:val="22"/>
          <w:lang w:val="de-DE"/>
        </w:rPr>
      </w:pPr>
      <w:r w:rsidRPr="00A5215F">
        <w:rPr>
          <w:color w:val="000000"/>
          <w:sz w:val="22"/>
          <w:szCs w:val="22"/>
          <w:lang w:val="de-DE"/>
        </w:rPr>
        <w:t>Zunächst ist dazu eine Einigung zwischen K und D und die Eintragung des D als neuen Eigentümer in das Grundbuch erforderlich (§§ 873 Abs. 1, 925 BGB). Dies ist vorliegend geschehen. Es fehlt jedoch an der Berechtigung des K.</w:t>
      </w:r>
    </w:p>
    <w:p w14:paraId="5997CC1D" w14:textId="77777777" w:rsidR="00B31168" w:rsidRPr="00A5215F" w:rsidRDefault="00B31168" w:rsidP="00B31168">
      <w:pPr>
        <w:jc w:val="both"/>
        <w:rPr>
          <w:color w:val="000000"/>
          <w:sz w:val="22"/>
          <w:szCs w:val="22"/>
          <w:lang w:val="de-DE"/>
        </w:rPr>
      </w:pPr>
    </w:p>
    <w:p w14:paraId="4C5E9407" w14:textId="77777777" w:rsidR="00B31168" w:rsidRPr="00A5215F" w:rsidRDefault="00B31168" w:rsidP="00B31168">
      <w:pPr>
        <w:jc w:val="both"/>
        <w:rPr>
          <w:b/>
          <w:color w:val="000000"/>
          <w:sz w:val="22"/>
          <w:szCs w:val="22"/>
          <w:lang w:val="de-DE"/>
        </w:rPr>
      </w:pPr>
      <w:r w:rsidRPr="00A5215F">
        <w:rPr>
          <w:b/>
          <w:color w:val="000000"/>
          <w:sz w:val="22"/>
          <w:szCs w:val="22"/>
          <w:lang w:val="de-DE"/>
        </w:rPr>
        <w:t>b) Voraussetzungen des § 892 BGB</w:t>
      </w:r>
    </w:p>
    <w:p w14:paraId="40127B12" w14:textId="77777777" w:rsidR="00B31168" w:rsidRPr="00A5215F" w:rsidRDefault="00B31168" w:rsidP="00B31168">
      <w:pPr>
        <w:jc w:val="both"/>
        <w:rPr>
          <w:color w:val="000000"/>
          <w:sz w:val="22"/>
          <w:szCs w:val="22"/>
          <w:lang w:val="de-DE"/>
        </w:rPr>
      </w:pPr>
      <w:r w:rsidRPr="00A5215F">
        <w:rPr>
          <w:color w:val="000000"/>
          <w:sz w:val="22"/>
          <w:szCs w:val="22"/>
          <w:lang w:val="de-DE"/>
        </w:rPr>
        <w:t>Für einen gutgläubigen Erwerb nach § 892 BGB müsste zunächst ein Rechtsgeschäft im Sinne eines Verkehrsgeschäfts vorliegen. Aufgrund der Personenverschiedenheit ist dies der Fall.</w:t>
      </w:r>
    </w:p>
    <w:p w14:paraId="6944CBE7" w14:textId="77777777" w:rsidR="00B31168" w:rsidRPr="00A5215F" w:rsidRDefault="00B31168" w:rsidP="00B31168">
      <w:pPr>
        <w:jc w:val="both"/>
        <w:rPr>
          <w:color w:val="000000"/>
          <w:sz w:val="22"/>
          <w:szCs w:val="22"/>
          <w:lang w:val="de-DE"/>
        </w:rPr>
      </w:pPr>
      <w:r w:rsidRPr="00A5215F">
        <w:rPr>
          <w:color w:val="000000"/>
          <w:sz w:val="22"/>
          <w:szCs w:val="22"/>
          <w:lang w:val="de-DE"/>
        </w:rPr>
        <w:t>Des Weiteren müsste K im Grundbuch zu Unrecht als materiell Berechtigter eingetragen sein. Auch dies ist der Fall.</w:t>
      </w:r>
    </w:p>
    <w:p w14:paraId="6D4352B2" w14:textId="77777777" w:rsidR="00B31168" w:rsidRPr="00A5215F" w:rsidRDefault="00B31168" w:rsidP="00B31168">
      <w:pPr>
        <w:jc w:val="both"/>
        <w:rPr>
          <w:color w:val="000000"/>
          <w:sz w:val="22"/>
          <w:szCs w:val="22"/>
          <w:lang w:val="de-DE"/>
        </w:rPr>
      </w:pPr>
      <w:r w:rsidRPr="00A5215F">
        <w:rPr>
          <w:color w:val="000000"/>
          <w:sz w:val="22"/>
          <w:szCs w:val="22"/>
          <w:lang w:val="de-DE"/>
        </w:rPr>
        <w:t>Ferner müsste D hinsichtlich des Grundbuchs gutgläubig sein, d.h. er dürfte keine positive Kenntnis von der Unrichtigkeit des Grundbuchs haben. Die Gutgläubigkeit des D wird nach § 892 BGB vermutet.</w:t>
      </w:r>
    </w:p>
    <w:p w14:paraId="68840E2D" w14:textId="77777777" w:rsidR="00B31168" w:rsidRPr="00A5215F" w:rsidRDefault="00B31168" w:rsidP="00B31168">
      <w:pPr>
        <w:jc w:val="both"/>
        <w:rPr>
          <w:color w:val="000000"/>
          <w:sz w:val="22"/>
          <w:szCs w:val="22"/>
          <w:lang w:val="de-DE"/>
        </w:rPr>
      </w:pPr>
      <w:r w:rsidRPr="00A5215F">
        <w:rPr>
          <w:color w:val="000000"/>
          <w:sz w:val="22"/>
          <w:szCs w:val="22"/>
          <w:lang w:val="de-DE"/>
        </w:rPr>
        <w:t>Schließlich dürfte kein Widerspruch gem. § 899 BGB gegen die Richtigkeit des Grundbuchs eingetragen sein. Dies ist nicht der Fall.</w:t>
      </w:r>
    </w:p>
    <w:p w14:paraId="12FE32BA"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D hat somit gutgläubig das Grundstück gem. §§ 892, 873 BGB des E erworben. </w:t>
      </w:r>
    </w:p>
    <w:p w14:paraId="110FFD37" w14:textId="77777777" w:rsidR="00B31168" w:rsidRPr="00A5215F" w:rsidRDefault="00B31168" w:rsidP="00B31168">
      <w:pPr>
        <w:jc w:val="both"/>
        <w:rPr>
          <w:color w:val="000000"/>
          <w:sz w:val="22"/>
          <w:szCs w:val="22"/>
          <w:lang w:val="de-DE"/>
        </w:rPr>
      </w:pPr>
    </w:p>
    <w:p w14:paraId="671EAF2B" w14:textId="77777777" w:rsidR="00B31168" w:rsidRPr="00A5215F" w:rsidRDefault="00B31168" w:rsidP="00B31168">
      <w:pPr>
        <w:jc w:val="both"/>
        <w:rPr>
          <w:b/>
          <w:color w:val="000000"/>
          <w:sz w:val="22"/>
          <w:szCs w:val="22"/>
          <w:lang w:val="de-DE"/>
        </w:rPr>
      </w:pPr>
      <w:r w:rsidRPr="00A5215F">
        <w:rPr>
          <w:b/>
          <w:color w:val="000000"/>
          <w:sz w:val="22"/>
          <w:szCs w:val="22"/>
          <w:lang w:val="de-DE"/>
        </w:rPr>
        <w:t>II. Ergebnis</w:t>
      </w:r>
    </w:p>
    <w:p w14:paraId="1F822967" w14:textId="77777777" w:rsidR="00B31168" w:rsidRPr="00A5215F" w:rsidRDefault="00B31168" w:rsidP="00B31168">
      <w:pPr>
        <w:jc w:val="both"/>
        <w:rPr>
          <w:color w:val="000000"/>
          <w:sz w:val="22"/>
          <w:szCs w:val="22"/>
          <w:lang w:val="de-DE"/>
        </w:rPr>
      </w:pPr>
      <w:r w:rsidRPr="00A5215F">
        <w:rPr>
          <w:color w:val="000000"/>
          <w:sz w:val="22"/>
          <w:szCs w:val="22"/>
          <w:lang w:val="de-DE"/>
        </w:rPr>
        <w:t>E hat folglich sein Eigentum an den D verloren und somit keinen Anspruch gegen D auf Zustimmung seiner Wiedereintragung als Eigentümer, da kein Widerspruch zwischen materieller Rechtslage und formeller Grundbuchlage vorliegt.</w:t>
      </w:r>
    </w:p>
    <w:p w14:paraId="6B699379" w14:textId="77777777" w:rsidR="00063444" w:rsidRDefault="00063444" w:rsidP="00063444">
      <w:pPr>
        <w:jc w:val="both"/>
        <w:rPr>
          <w:sz w:val="22"/>
          <w:szCs w:val="22"/>
          <w:lang w:val="de-DE"/>
        </w:rPr>
      </w:pPr>
    </w:p>
    <w:p w14:paraId="3FE9F23F" w14:textId="77777777" w:rsidR="00A5215F" w:rsidRPr="00A5215F" w:rsidRDefault="00A5215F" w:rsidP="00063444">
      <w:pPr>
        <w:jc w:val="both"/>
        <w:rPr>
          <w:sz w:val="22"/>
          <w:szCs w:val="22"/>
          <w:lang w:val="de-DE"/>
        </w:rPr>
      </w:pPr>
    </w:p>
    <w:p w14:paraId="6E1DCB31" w14:textId="77777777" w:rsidR="00063444" w:rsidRPr="00A5215F" w:rsidRDefault="00063444" w:rsidP="00063444">
      <w:pPr>
        <w:jc w:val="both"/>
        <w:rPr>
          <w:b/>
          <w:sz w:val="22"/>
          <w:szCs w:val="22"/>
          <w:u w:val="single"/>
          <w:lang w:val="de-DE"/>
        </w:rPr>
      </w:pPr>
      <w:r w:rsidRPr="00A5215F">
        <w:rPr>
          <w:b/>
          <w:sz w:val="22"/>
          <w:szCs w:val="22"/>
          <w:u w:val="single"/>
          <w:lang w:val="de-DE"/>
        </w:rPr>
        <w:t>Fall 6</w:t>
      </w:r>
    </w:p>
    <w:p w14:paraId="1F72F646" w14:textId="77777777" w:rsidR="00063444" w:rsidRPr="00A5215F" w:rsidRDefault="00063444" w:rsidP="00063444">
      <w:pPr>
        <w:jc w:val="both"/>
        <w:rPr>
          <w:b/>
          <w:sz w:val="22"/>
          <w:szCs w:val="22"/>
          <w:u w:val="single"/>
          <w:lang w:val="de-DE"/>
        </w:rPr>
      </w:pPr>
    </w:p>
    <w:p w14:paraId="369D4A1C" w14:textId="77777777" w:rsidR="00B31168" w:rsidRPr="00A5215F" w:rsidRDefault="00B31168" w:rsidP="00B31168">
      <w:pPr>
        <w:jc w:val="both"/>
        <w:rPr>
          <w:color w:val="000000"/>
          <w:sz w:val="22"/>
          <w:szCs w:val="22"/>
          <w:lang w:val="de-DE"/>
        </w:rPr>
      </w:pPr>
      <w:r w:rsidRPr="00A5215F">
        <w:rPr>
          <w:color w:val="000000"/>
          <w:sz w:val="22"/>
          <w:szCs w:val="22"/>
          <w:lang w:val="de-DE"/>
        </w:rPr>
        <w:t>Im Unterschied zu Fall 5 hat D hier noch vor der Auflassung und damit vor dem Eintritt des Rechtserwerbs positive Kenntnis von der Unrichtigkeit des Grundbuchs erlangt. Ein gutgläubiger Grundstückserwerb gem. §§ 873 Abs. 1, 925, 892 BGB scheidet damit aus.</w:t>
      </w:r>
    </w:p>
    <w:p w14:paraId="08CE6F91" w14:textId="77777777" w:rsidR="00063444" w:rsidRDefault="00063444" w:rsidP="00063444">
      <w:pPr>
        <w:jc w:val="both"/>
        <w:rPr>
          <w:sz w:val="22"/>
          <w:szCs w:val="22"/>
          <w:lang w:val="de-DE"/>
        </w:rPr>
      </w:pPr>
    </w:p>
    <w:p w14:paraId="61CDCEAD" w14:textId="77777777" w:rsidR="00A5215F" w:rsidRPr="00A5215F" w:rsidRDefault="00A5215F" w:rsidP="00063444">
      <w:pPr>
        <w:jc w:val="both"/>
        <w:rPr>
          <w:sz w:val="22"/>
          <w:szCs w:val="22"/>
          <w:lang w:val="de-DE"/>
        </w:rPr>
      </w:pPr>
    </w:p>
    <w:p w14:paraId="2C52E54E" w14:textId="77777777" w:rsidR="00063444" w:rsidRPr="00A5215F" w:rsidRDefault="00063444" w:rsidP="00063444">
      <w:pPr>
        <w:jc w:val="both"/>
        <w:rPr>
          <w:b/>
          <w:sz w:val="22"/>
          <w:szCs w:val="22"/>
          <w:u w:val="single"/>
          <w:lang w:val="de-DE"/>
        </w:rPr>
      </w:pPr>
      <w:r w:rsidRPr="00A5215F">
        <w:rPr>
          <w:b/>
          <w:sz w:val="22"/>
          <w:szCs w:val="22"/>
          <w:u w:val="single"/>
          <w:lang w:val="de-DE"/>
        </w:rPr>
        <w:t>Fall 7</w:t>
      </w:r>
    </w:p>
    <w:p w14:paraId="6BB9E253" w14:textId="77777777" w:rsidR="00063444" w:rsidRPr="00A5215F" w:rsidRDefault="00063444" w:rsidP="00063444">
      <w:pPr>
        <w:jc w:val="both"/>
        <w:rPr>
          <w:b/>
          <w:sz w:val="22"/>
          <w:szCs w:val="22"/>
          <w:u w:val="single"/>
          <w:lang w:val="de-DE"/>
        </w:rPr>
      </w:pPr>
    </w:p>
    <w:p w14:paraId="48CC79D2" w14:textId="77777777" w:rsidR="00B31168" w:rsidRPr="00A5215F" w:rsidRDefault="00B31168" w:rsidP="00B31168">
      <w:pPr>
        <w:jc w:val="both"/>
        <w:rPr>
          <w:color w:val="000000"/>
          <w:sz w:val="22"/>
          <w:szCs w:val="22"/>
          <w:lang w:val="de-DE"/>
        </w:rPr>
      </w:pPr>
      <w:r w:rsidRPr="00A5215F">
        <w:rPr>
          <w:color w:val="000000"/>
          <w:sz w:val="22"/>
          <w:szCs w:val="22"/>
          <w:lang w:val="de-DE"/>
        </w:rPr>
        <w:t>Gem. § 892 Abs. 2 BGB ist für die Gutgläubigkeit abweichend von Abs. 1 der Zeitpunkt maßgeblich, zu dem nur noch die Eintragung erforderlich ist, also der Zeitpunkt der Stellung des Eintragungsantrags. Der Erwerber soll keine Nachteile durch die Arbeitsgeschwindigkeit des Grundbuchamtes haben, auf die er keinen Einfluss hat. D erfuhr erst nach Stellung des Eintragungsantrags beim Grundbuchamt von der Anfechtung. Daher hat er gutgläubig das Grundstück gem. §§ 873 Abs. 1, 925, 892 BGB erworben.</w:t>
      </w:r>
    </w:p>
    <w:p w14:paraId="23DE523C" w14:textId="77777777" w:rsidR="00063444" w:rsidRPr="00A5215F" w:rsidRDefault="00063444" w:rsidP="00063444">
      <w:pPr>
        <w:jc w:val="both"/>
        <w:rPr>
          <w:sz w:val="22"/>
          <w:szCs w:val="22"/>
          <w:lang w:val="de-DE"/>
        </w:rPr>
      </w:pPr>
    </w:p>
    <w:p w14:paraId="52E56223" w14:textId="77777777" w:rsidR="00063444" w:rsidRPr="00A5215F" w:rsidRDefault="00063444" w:rsidP="00063444">
      <w:pPr>
        <w:jc w:val="both"/>
        <w:rPr>
          <w:sz w:val="22"/>
          <w:szCs w:val="22"/>
          <w:lang w:val="de-DE"/>
        </w:rPr>
      </w:pPr>
    </w:p>
    <w:p w14:paraId="6DCC47DB" w14:textId="77777777" w:rsidR="00063444" w:rsidRPr="00A5215F" w:rsidRDefault="00063444" w:rsidP="00063444">
      <w:pPr>
        <w:jc w:val="both"/>
        <w:rPr>
          <w:b/>
          <w:sz w:val="22"/>
          <w:szCs w:val="22"/>
          <w:u w:val="single"/>
          <w:lang w:val="de-DE"/>
        </w:rPr>
      </w:pPr>
      <w:r w:rsidRPr="00A5215F">
        <w:rPr>
          <w:b/>
          <w:sz w:val="22"/>
          <w:szCs w:val="22"/>
          <w:u w:val="single"/>
          <w:lang w:val="de-DE"/>
        </w:rPr>
        <w:t>Fall 8</w:t>
      </w:r>
    </w:p>
    <w:p w14:paraId="07547A01" w14:textId="77777777" w:rsidR="00063444" w:rsidRPr="00A5215F" w:rsidRDefault="00063444" w:rsidP="00063444">
      <w:pPr>
        <w:jc w:val="both"/>
        <w:rPr>
          <w:b/>
          <w:sz w:val="22"/>
          <w:szCs w:val="22"/>
          <w:u w:val="single"/>
          <w:lang w:val="de-DE"/>
        </w:rPr>
      </w:pPr>
    </w:p>
    <w:p w14:paraId="59609415" w14:textId="77777777" w:rsidR="00B31168" w:rsidRPr="00A5215F" w:rsidRDefault="00B31168" w:rsidP="00B31168">
      <w:pPr>
        <w:jc w:val="both"/>
        <w:rPr>
          <w:color w:val="000000"/>
          <w:sz w:val="22"/>
          <w:szCs w:val="22"/>
          <w:lang w:val="de-DE"/>
        </w:rPr>
      </w:pPr>
      <w:r w:rsidRPr="00A5215F">
        <w:rPr>
          <w:color w:val="000000"/>
          <w:sz w:val="22"/>
          <w:szCs w:val="22"/>
          <w:lang w:val="de-DE"/>
        </w:rPr>
        <w:t>E hätte einen Widerspruch gem. § 899 BGB gegen die Richtigkeit des Grundbuchs eintragen lassen können, welcher einen gutgläubigen Erwerb unmöglich macht. Gem. § 899 Abs.</w:t>
      </w:r>
      <w:r w:rsidRPr="00A5215F">
        <w:rPr>
          <w:lang w:val="de-DE"/>
        </w:rPr>
        <w:t> </w:t>
      </w:r>
      <w:r w:rsidRPr="00A5215F">
        <w:rPr>
          <w:color w:val="000000"/>
          <w:sz w:val="22"/>
          <w:szCs w:val="22"/>
          <w:lang w:val="de-DE"/>
        </w:rPr>
        <w:t>2 BGB kann dieser durch eine einstweilige Verfügung oder aufgrund der Bewilligung erfolgen.</w:t>
      </w:r>
    </w:p>
    <w:p w14:paraId="5043CB0F" w14:textId="77777777" w:rsidR="00D07383" w:rsidRPr="00A5215F" w:rsidRDefault="00D07383" w:rsidP="00B31168">
      <w:pPr>
        <w:jc w:val="both"/>
        <w:rPr>
          <w:color w:val="000000"/>
          <w:sz w:val="22"/>
          <w:szCs w:val="22"/>
          <w:lang w:val="de-DE"/>
        </w:rPr>
      </w:pPr>
    </w:p>
    <w:p w14:paraId="07459315" w14:textId="77777777" w:rsidR="00063444" w:rsidRPr="00A5215F" w:rsidRDefault="00063444" w:rsidP="00063444">
      <w:pPr>
        <w:jc w:val="both"/>
        <w:rPr>
          <w:b/>
          <w:sz w:val="22"/>
          <w:szCs w:val="22"/>
          <w:u w:val="single"/>
          <w:lang w:val="de-DE"/>
        </w:rPr>
      </w:pPr>
    </w:p>
    <w:p w14:paraId="3EC47028" w14:textId="77777777" w:rsidR="00063444" w:rsidRPr="00A5215F" w:rsidRDefault="00063444" w:rsidP="00063444">
      <w:pPr>
        <w:jc w:val="both"/>
        <w:rPr>
          <w:b/>
          <w:sz w:val="22"/>
          <w:szCs w:val="22"/>
          <w:u w:val="single"/>
          <w:lang w:val="de-DE"/>
        </w:rPr>
      </w:pPr>
      <w:r w:rsidRPr="00A5215F">
        <w:rPr>
          <w:b/>
          <w:sz w:val="22"/>
          <w:szCs w:val="22"/>
          <w:u w:val="single"/>
          <w:lang w:val="de-DE"/>
        </w:rPr>
        <w:t>Fall 9</w:t>
      </w:r>
    </w:p>
    <w:p w14:paraId="6537F28F" w14:textId="77777777" w:rsidR="00063444" w:rsidRPr="00A5215F" w:rsidRDefault="00063444" w:rsidP="00063444">
      <w:pPr>
        <w:jc w:val="both"/>
        <w:rPr>
          <w:b/>
          <w:sz w:val="22"/>
          <w:szCs w:val="22"/>
          <w:u w:val="single"/>
          <w:lang w:val="de-DE"/>
        </w:rPr>
      </w:pPr>
    </w:p>
    <w:p w14:paraId="52BAFF51" w14:textId="0BFB987E" w:rsidR="00B31168" w:rsidRPr="00A5215F" w:rsidRDefault="00B31168" w:rsidP="00B31168">
      <w:pPr>
        <w:jc w:val="both"/>
        <w:rPr>
          <w:color w:val="000000"/>
          <w:sz w:val="22"/>
          <w:szCs w:val="22"/>
          <w:lang w:val="de-DE"/>
        </w:rPr>
      </w:pPr>
      <w:r w:rsidRPr="7EE6BD28">
        <w:rPr>
          <w:color w:val="000000" w:themeColor="text1"/>
          <w:sz w:val="22"/>
          <w:szCs w:val="22"/>
          <w:lang w:val="de-DE"/>
        </w:rPr>
        <w:t>K könnte gegen D einen Anspruch auf Zustimmung zur Grundbuchberichtigung gem. § 888 Abs. 1 BGB bezüglich der Wiedereintragung des E als Eigentümerin (und der Vormerkung des K, sofern diese gelöscht wurde) haben.</w:t>
      </w:r>
    </w:p>
    <w:p w14:paraId="0B6C02E8" w14:textId="77777777" w:rsidR="00B31168" w:rsidRPr="00A5215F" w:rsidRDefault="00B31168" w:rsidP="00B31168">
      <w:pPr>
        <w:jc w:val="both"/>
        <w:rPr>
          <w:color w:val="000000"/>
          <w:sz w:val="22"/>
          <w:szCs w:val="22"/>
          <w:lang w:val="de-DE"/>
        </w:rPr>
      </w:pPr>
      <w:r w:rsidRPr="00A5215F">
        <w:rPr>
          <w:color w:val="000000"/>
          <w:sz w:val="22"/>
          <w:szCs w:val="22"/>
          <w:lang w:val="de-DE"/>
        </w:rPr>
        <w:t>Das Grundbuch müsste diesbezüglich unrichtig sein.</w:t>
      </w:r>
    </w:p>
    <w:p w14:paraId="6DFB9E20" w14:textId="77777777" w:rsidR="00B31168" w:rsidRPr="00A5215F" w:rsidRDefault="00B31168" w:rsidP="00B31168">
      <w:pPr>
        <w:jc w:val="both"/>
        <w:rPr>
          <w:color w:val="000000"/>
          <w:sz w:val="22"/>
          <w:szCs w:val="22"/>
          <w:lang w:val="de-DE"/>
        </w:rPr>
      </w:pPr>
    </w:p>
    <w:p w14:paraId="3BA75BD1" w14:textId="77777777" w:rsidR="00B31168" w:rsidRPr="00A5215F" w:rsidRDefault="00B31168" w:rsidP="00B31168">
      <w:pPr>
        <w:jc w:val="both"/>
        <w:rPr>
          <w:b/>
          <w:color w:val="000000"/>
          <w:sz w:val="22"/>
          <w:szCs w:val="22"/>
          <w:lang w:val="de-DE"/>
        </w:rPr>
      </w:pPr>
      <w:r w:rsidRPr="00A5215F">
        <w:rPr>
          <w:b/>
          <w:color w:val="000000"/>
          <w:sz w:val="22"/>
          <w:szCs w:val="22"/>
          <w:lang w:val="de-DE"/>
        </w:rPr>
        <w:t>I. Formelle Grundbuchlage</w:t>
      </w:r>
    </w:p>
    <w:p w14:paraId="63CFC33C" w14:textId="42DA014E" w:rsidR="00B31168" w:rsidRPr="00A5215F" w:rsidRDefault="00B31168" w:rsidP="00B31168">
      <w:pPr>
        <w:jc w:val="both"/>
        <w:rPr>
          <w:color w:val="000000"/>
          <w:sz w:val="22"/>
          <w:szCs w:val="22"/>
          <w:lang w:val="de-DE"/>
        </w:rPr>
      </w:pPr>
      <w:r w:rsidRPr="7EE6BD28">
        <w:rPr>
          <w:color w:val="000000" w:themeColor="text1"/>
          <w:sz w:val="22"/>
          <w:szCs w:val="22"/>
          <w:lang w:val="de-DE"/>
        </w:rPr>
        <w:t>Nach der formellen Grundbuchlage ist D Eigentümerin des Grundstücks.</w:t>
      </w:r>
    </w:p>
    <w:p w14:paraId="70DF9E56" w14:textId="77777777" w:rsidR="00B31168" w:rsidRPr="00A5215F" w:rsidRDefault="00B31168" w:rsidP="00B31168">
      <w:pPr>
        <w:jc w:val="both"/>
        <w:rPr>
          <w:b/>
          <w:color w:val="000000"/>
          <w:sz w:val="22"/>
          <w:szCs w:val="22"/>
          <w:lang w:val="de-DE"/>
        </w:rPr>
      </w:pPr>
    </w:p>
    <w:p w14:paraId="7B0443BF" w14:textId="77777777" w:rsidR="00B31168" w:rsidRPr="00A5215F" w:rsidRDefault="00B31168" w:rsidP="00B31168">
      <w:pPr>
        <w:jc w:val="both"/>
        <w:rPr>
          <w:b/>
          <w:color w:val="000000"/>
          <w:sz w:val="22"/>
          <w:szCs w:val="22"/>
          <w:lang w:val="de-DE"/>
        </w:rPr>
      </w:pPr>
      <w:r w:rsidRPr="00A5215F">
        <w:rPr>
          <w:b/>
          <w:color w:val="000000"/>
          <w:sz w:val="22"/>
          <w:szCs w:val="22"/>
          <w:lang w:val="de-DE"/>
        </w:rPr>
        <w:t>II. Materielle Rechtslage</w:t>
      </w:r>
    </w:p>
    <w:p w14:paraId="44E871BC" w14:textId="77777777" w:rsidR="00B31168" w:rsidRPr="00A5215F" w:rsidRDefault="00B31168" w:rsidP="00B31168">
      <w:pPr>
        <w:jc w:val="both"/>
        <w:rPr>
          <w:color w:val="000000"/>
          <w:sz w:val="22"/>
          <w:szCs w:val="22"/>
          <w:lang w:val="de-DE"/>
        </w:rPr>
      </w:pPr>
    </w:p>
    <w:p w14:paraId="052A608D" w14:textId="0EC24C00" w:rsidR="00B31168" w:rsidRPr="00A5215F" w:rsidRDefault="00B31168" w:rsidP="7EE6BD28">
      <w:pPr>
        <w:jc w:val="both"/>
        <w:rPr>
          <w:b/>
          <w:bCs/>
          <w:color w:val="000000"/>
          <w:sz w:val="22"/>
          <w:szCs w:val="22"/>
          <w:lang w:val="de-DE"/>
        </w:rPr>
      </w:pPr>
      <w:r w:rsidRPr="7EE6BD28">
        <w:rPr>
          <w:b/>
          <w:bCs/>
          <w:color w:val="000000" w:themeColor="text1"/>
          <w:sz w:val="22"/>
          <w:szCs w:val="22"/>
          <w:lang w:val="de-DE"/>
        </w:rPr>
        <w:t>1. Ursprünglich war E Eigentümerin des Grundstücks.</w:t>
      </w:r>
    </w:p>
    <w:p w14:paraId="144A5D23" w14:textId="77777777" w:rsidR="00B31168" w:rsidRPr="00A5215F" w:rsidRDefault="00B31168" w:rsidP="00B31168">
      <w:pPr>
        <w:jc w:val="both"/>
        <w:rPr>
          <w:b/>
          <w:color w:val="000000"/>
          <w:sz w:val="22"/>
          <w:szCs w:val="22"/>
          <w:lang w:val="de-DE"/>
        </w:rPr>
      </w:pPr>
    </w:p>
    <w:p w14:paraId="2320B21B" w14:textId="77777777" w:rsidR="00B31168" w:rsidRPr="00A5215F" w:rsidRDefault="00B31168" w:rsidP="00B31168">
      <w:pPr>
        <w:jc w:val="both"/>
        <w:rPr>
          <w:b/>
          <w:color w:val="000000"/>
          <w:sz w:val="22"/>
          <w:szCs w:val="22"/>
          <w:lang w:val="de-DE"/>
        </w:rPr>
      </w:pPr>
      <w:r w:rsidRPr="00A5215F">
        <w:rPr>
          <w:b/>
          <w:color w:val="000000"/>
          <w:sz w:val="22"/>
          <w:szCs w:val="22"/>
          <w:lang w:val="de-DE"/>
        </w:rPr>
        <w:t>2. Eigentumsverlust an K</w:t>
      </w:r>
    </w:p>
    <w:p w14:paraId="4B3AE3E6" w14:textId="6D00161A" w:rsidR="00B31168" w:rsidRPr="00A5215F" w:rsidRDefault="00B31168" w:rsidP="00B31168">
      <w:pPr>
        <w:jc w:val="both"/>
        <w:rPr>
          <w:color w:val="000000"/>
          <w:sz w:val="22"/>
          <w:szCs w:val="22"/>
          <w:lang w:val="de-DE"/>
        </w:rPr>
      </w:pPr>
      <w:r w:rsidRPr="7EE6BD28">
        <w:rPr>
          <w:color w:val="000000" w:themeColor="text1"/>
          <w:sz w:val="22"/>
          <w:szCs w:val="22"/>
          <w:lang w:val="de-DE"/>
        </w:rPr>
        <w:t>Diese hat ihr Eigentum nicht an K verloren, da nur das Verpflichtungsgeschäft geschlossen und eine Vormerkung zur Sicherung des Anspruchs eingetragen wurde, es jedoch zumindest an der Eintragung des K fehlt.</w:t>
      </w:r>
    </w:p>
    <w:p w14:paraId="738610EB" w14:textId="77777777" w:rsidR="00B31168" w:rsidRPr="00A5215F" w:rsidRDefault="00B31168" w:rsidP="00B31168">
      <w:pPr>
        <w:jc w:val="both"/>
        <w:rPr>
          <w:color w:val="000000"/>
          <w:sz w:val="22"/>
          <w:szCs w:val="22"/>
          <w:lang w:val="de-DE"/>
        </w:rPr>
      </w:pPr>
    </w:p>
    <w:p w14:paraId="5DEDE193" w14:textId="77777777" w:rsidR="00B31168" w:rsidRPr="00A5215F" w:rsidRDefault="00B31168" w:rsidP="00B31168">
      <w:pPr>
        <w:jc w:val="both"/>
        <w:rPr>
          <w:b/>
          <w:color w:val="000000"/>
          <w:sz w:val="22"/>
          <w:szCs w:val="22"/>
          <w:lang w:val="de-DE"/>
        </w:rPr>
      </w:pPr>
      <w:r w:rsidRPr="00A5215F">
        <w:rPr>
          <w:b/>
          <w:color w:val="000000"/>
          <w:sz w:val="22"/>
          <w:szCs w:val="22"/>
          <w:lang w:val="de-DE"/>
        </w:rPr>
        <w:t>3. Eigentumsverlust an D</w:t>
      </w:r>
    </w:p>
    <w:p w14:paraId="199B578E" w14:textId="375CC933" w:rsidR="00B31168" w:rsidRPr="00A5215F" w:rsidRDefault="00B31168" w:rsidP="00B31168">
      <w:pPr>
        <w:jc w:val="both"/>
        <w:rPr>
          <w:color w:val="000000"/>
          <w:sz w:val="22"/>
          <w:szCs w:val="22"/>
          <w:lang w:val="de-DE"/>
        </w:rPr>
      </w:pPr>
      <w:r w:rsidRPr="7EE6BD28">
        <w:rPr>
          <w:color w:val="000000" w:themeColor="text1"/>
          <w:sz w:val="22"/>
          <w:szCs w:val="22"/>
          <w:lang w:val="de-DE"/>
        </w:rPr>
        <w:t>Er könnte allerdings sein Eigentum an die D verloren haben. Es erfolgten Auflassung und Eintragung, § 873 BGB.</w:t>
      </w:r>
    </w:p>
    <w:p w14:paraId="0BB46136" w14:textId="7D9F76C6" w:rsidR="00B31168" w:rsidRPr="00A5215F" w:rsidRDefault="00B31168" w:rsidP="00B31168">
      <w:pPr>
        <w:jc w:val="both"/>
        <w:rPr>
          <w:color w:val="000000"/>
          <w:sz w:val="22"/>
          <w:szCs w:val="22"/>
          <w:lang w:val="de-DE"/>
        </w:rPr>
      </w:pPr>
      <w:r w:rsidRPr="7EE6BD28">
        <w:rPr>
          <w:color w:val="000000" w:themeColor="text1"/>
          <w:sz w:val="22"/>
          <w:szCs w:val="22"/>
          <w:lang w:val="de-DE"/>
        </w:rPr>
        <w:t>Fraglich ist jedoch, ob die E verfügungsberechtigt war.</w:t>
      </w:r>
    </w:p>
    <w:p w14:paraId="56E983A2" w14:textId="699C948B" w:rsidR="00B31168" w:rsidRPr="00A5215F" w:rsidRDefault="00B31168" w:rsidP="00B31168">
      <w:pPr>
        <w:jc w:val="both"/>
        <w:rPr>
          <w:color w:val="000000"/>
          <w:sz w:val="22"/>
          <w:szCs w:val="22"/>
          <w:lang w:val="de-DE"/>
        </w:rPr>
      </w:pPr>
      <w:r w:rsidRPr="7EE6BD28">
        <w:rPr>
          <w:color w:val="000000" w:themeColor="text1"/>
          <w:sz w:val="22"/>
          <w:szCs w:val="22"/>
          <w:lang w:val="de-DE"/>
        </w:rPr>
        <w:t>Aufgrund der Eintragung der Vormerkung für die K ist die Verfügung im Verhältnis zu E relativ unwirksam, § 883 Abs. 2 BGB. Für K bleibt E Eigentümerin, auch wenn allen anderen Teilnehmern am Rechtsverkehr gegenüber, D Eigentümerin geworden ist. Aufgrund der relativen Unwirksamkeit der Übertragung des Eigentums zwischen E und D ist die Übereignung des Grundstücks von E an K auch nicht unmöglich geworden nach § 275 Abs. 1 BGB.</w:t>
      </w:r>
    </w:p>
    <w:p w14:paraId="40A132CF" w14:textId="6D575A1C" w:rsidR="00B31168" w:rsidRPr="00A5215F" w:rsidRDefault="00B31168" w:rsidP="00B31168">
      <w:pPr>
        <w:jc w:val="both"/>
        <w:rPr>
          <w:color w:val="000000"/>
          <w:sz w:val="22"/>
          <w:szCs w:val="22"/>
          <w:lang w:val="de-DE"/>
        </w:rPr>
      </w:pPr>
      <w:r w:rsidRPr="7EE6BD28">
        <w:rPr>
          <w:color w:val="000000" w:themeColor="text1"/>
          <w:sz w:val="22"/>
          <w:szCs w:val="22"/>
          <w:lang w:val="de-DE"/>
        </w:rPr>
        <w:t xml:space="preserve">Weil E allerdings nicht mehr in das Grundbuch eingetragen ist, kann sie die Grundbuchänderung zugunsten der K nicht beantragen. </w:t>
      </w:r>
    </w:p>
    <w:p w14:paraId="637805D2" w14:textId="77777777" w:rsidR="00B31168" w:rsidRPr="00A5215F" w:rsidRDefault="00B31168" w:rsidP="00B31168">
      <w:pPr>
        <w:jc w:val="both"/>
        <w:rPr>
          <w:color w:val="000000"/>
          <w:sz w:val="22"/>
          <w:szCs w:val="22"/>
          <w:lang w:val="de-DE"/>
        </w:rPr>
      </w:pPr>
    </w:p>
    <w:p w14:paraId="4E6F7BD5" w14:textId="77777777" w:rsidR="00B31168" w:rsidRPr="00A5215F" w:rsidRDefault="00B31168" w:rsidP="00B31168">
      <w:pPr>
        <w:jc w:val="both"/>
        <w:rPr>
          <w:b/>
          <w:color w:val="000000"/>
          <w:sz w:val="22"/>
          <w:szCs w:val="22"/>
          <w:lang w:val="de-DE"/>
        </w:rPr>
      </w:pPr>
      <w:r w:rsidRPr="00A5215F">
        <w:rPr>
          <w:b/>
          <w:color w:val="000000"/>
          <w:sz w:val="22"/>
          <w:szCs w:val="22"/>
          <w:lang w:val="de-DE"/>
        </w:rPr>
        <w:t>III. Ergebnis</w:t>
      </w:r>
    </w:p>
    <w:p w14:paraId="59054F70" w14:textId="7A9FB115" w:rsidR="00B31168" w:rsidRPr="00A5215F" w:rsidRDefault="00B31168" w:rsidP="00B31168">
      <w:pPr>
        <w:jc w:val="both"/>
        <w:rPr>
          <w:color w:val="000000"/>
          <w:sz w:val="22"/>
          <w:szCs w:val="22"/>
          <w:lang w:val="de-DE"/>
        </w:rPr>
      </w:pPr>
      <w:r w:rsidRPr="7EE6BD28">
        <w:rPr>
          <w:color w:val="000000" w:themeColor="text1"/>
          <w:sz w:val="22"/>
          <w:szCs w:val="22"/>
          <w:lang w:val="de-DE"/>
        </w:rPr>
        <w:t>K hat daher einen Anspruch gegen D aus § 888 Abs. 1 BGB, damit sie trotzdem zu ihrem Recht kommt. D muss ihr gem. § 888 BGB die gem. § 19 GBO erforderliche Zustimmung erteilen.</w:t>
      </w:r>
    </w:p>
    <w:p w14:paraId="463F29E8" w14:textId="77777777" w:rsidR="00B31168" w:rsidRPr="00A5215F" w:rsidRDefault="00B31168" w:rsidP="00B31168">
      <w:pPr>
        <w:jc w:val="both"/>
        <w:rPr>
          <w:color w:val="000000"/>
          <w:sz w:val="22"/>
          <w:szCs w:val="22"/>
          <w:lang w:val="de-DE"/>
        </w:rPr>
      </w:pPr>
    </w:p>
    <w:p w14:paraId="0E580A90" w14:textId="77777777" w:rsidR="00B31168" w:rsidRPr="00A5215F" w:rsidRDefault="00B31168" w:rsidP="00B31168">
      <w:pPr>
        <w:jc w:val="both"/>
        <w:rPr>
          <w:color w:val="000000"/>
          <w:sz w:val="22"/>
          <w:szCs w:val="22"/>
          <w:lang w:val="de-DE"/>
        </w:rPr>
      </w:pPr>
      <w:r w:rsidRPr="00A5215F">
        <w:rPr>
          <w:color w:val="000000"/>
          <w:sz w:val="22"/>
          <w:szCs w:val="22"/>
          <w:lang w:val="de-DE"/>
        </w:rPr>
        <w:t>Zudem hat K gegen E einen Erfüllungsanspruch aus §§ 433 Abs. 1 BGB, d.h. einen Anspruch auf Übertragung des Eigentums an dem Grundstücks.</w:t>
      </w:r>
    </w:p>
    <w:p w14:paraId="3B7B4B86" w14:textId="77777777" w:rsidR="00B31168" w:rsidRPr="00A5215F" w:rsidRDefault="00B31168" w:rsidP="00063444">
      <w:pPr>
        <w:jc w:val="both"/>
        <w:rPr>
          <w:b/>
          <w:sz w:val="22"/>
          <w:szCs w:val="22"/>
          <w:u w:val="single"/>
          <w:lang w:val="de-DE"/>
        </w:rPr>
      </w:pPr>
    </w:p>
    <w:p w14:paraId="3A0FF5F2" w14:textId="77777777" w:rsidR="00063444" w:rsidRPr="00A5215F" w:rsidRDefault="00063444" w:rsidP="00063444">
      <w:pPr>
        <w:jc w:val="both"/>
        <w:rPr>
          <w:b/>
          <w:sz w:val="22"/>
          <w:szCs w:val="22"/>
          <w:u w:val="single"/>
          <w:lang w:val="de-DE"/>
        </w:rPr>
      </w:pPr>
    </w:p>
    <w:p w14:paraId="0A4F5059" w14:textId="77777777" w:rsidR="00063444" w:rsidRPr="00A5215F" w:rsidRDefault="00063444" w:rsidP="00063444">
      <w:pPr>
        <w:jc w:val="both"/>
        <w:rPr>
          <w:b/>
          <w:sz w:val="22"/>
          <w:szCs w:val="22"/>
          <w:u w:val="single"/>
          <w:lang w:val="de-DE"/>
        </w:rPr>
      </w:pPr>
      <w:r w:rsidRPr="00A5215F">
        <w:rPr>
          <w:b/>
          <w:sz w:val="22"/>
          <w:szCs w:val="22"/>
          <w:u w:val="single"/>
          <w:lang w:val="de-DE"/>
        </w:rPr>
        <w:t>Fall 10</w:t>
      </w:r>
    </w:p>
    <w:p w14:paraId="5630AD66" w14:textId="77777777" w:rsidR="00063444" w:rsidRPr="00A5215F" w:rsidRDefault="00063444" w:rsidP="00063444">
      <w:pPr>
        <w:jc w:val="both"/>
        <w:rPr>
          <w:b/>
          <w:sz w:val="22"/>
          <w:szCs w:val="22"/>
          <w:u w:val="single"/>
          <w:lang w:val="de-DE"/>
        </w:rPr>
      </w:pPr>
    </w:p>
    <w:p w14:paraId="487122D0" w14:textId="77777777" w:rsidR="00B31168" w:rsidRPr="00A5215F" w:rsidRDefault="00B31168" w:rsidP="00B31168">
      <w:pPr>
        <w:jc w:val="both"/>
        <w:rPr>
          <w:color w:val="000000"/>
          <w:sz w:val="22"/>
          <w:szCs w:val="22"/>
          <w:lang w:val="de-DE"/>
        </w:rPr>
      </w:pPr>
      <w:r w:rsidRPr="00A5215F">
        <w:rPr>
          <w:color w:val="000000"/>
          <w:sz w:val="22"/>
          <w:szCs w:val="22"/>
          <w:lang w:val="de-DE"/>
        </w:rPr>
        <w:t>Hier kann K vom Insolvenzverwalter gemäß § 106 Abs. 1 InsO die Erfüllung des gesicherten Anspruchs trotz der Eröffnung des Insolvenzverfahrens verlangen.</w:t>
      </w:r>
    </w:p>
    <w:p w14:paraId="61829076" w14:textId="77777777" w:rsidR="00063444" w:rsidRPr="00A5215F" w:rsidRDefault="00063444" w:rsidP="00063444">
      <w:pPr>
        <w:jc w:val="both"/>
        <w:rPr>
          <w:b/>
          <w:sz w:val="22"/>
          <w:szCs w:val="22"/>
          <w:u w:val="single"/>
          <w:lang w:val="de-DE"/>
        </w:rPr>
      </w:pPr>
    </w:p>
    <w:p w14:paraId="2BA226A1" w14:textId="77777777" w:rsidR="00063444" w:rsidRPr="00A5215F" w:rsidRDefault="00063444" w:rsidP="00063444">
      <w:pPr>
        <w:jc w:val="both"/>
        <w:rPr>
          <w:b/>
          <w:sz w:val="22"/>
          <w:szCs w:val="22"/>
          <w:u w:val="single"/>
          <w:lang w:val="de-DE"/>
        </w:rPr>
      </w:pPr>
    </w:p>
    <w:p w14:paraId="453F11A4" w14:textId="77777777" w:rsidR="00063444" w:rsidRPr="00A5215F" w:rsidRDefault="00063444" w:rsidP="00063444">
      <w:pPr>
        <w:jc w:val="both"/>
        <w:rPr>
          <w:b/>
          <w:sz w:val="22"/>
          <w:szCs w:val="22"/>
          <w:u w:val="single"/>
          <w:lang w:val="de-DE"/>
        </w:rPr>
      </w:pPr>
      <w:r w:rsidRPr="00A5215F">
        <w:rPr>
          <w:b/>
          <w:sz w:val="22"/>
          <w:szCs w:val="22"/>
          <w:u w:val="single"/>
          <w:lang w:val="de-DE"/>
        </w:rPr>
        <w:t>Fall 11</w:t>
      </w:r>
    </w:p>
    <w:p w14:paraId="17AD93B2" w14:textId="77777777" w:rsidR="00063444" w:rsidRPr="00A5215F" w:rsidRDefault="00063444" w:rsidP="00063444">
      <w:pPr>
        <w:rPr>
          <w:lang w:val="de-DE"/>
        </w:rPr>
      </w:pPr>
    </w:p>
    <w:p w14:paraId="2AD6ED82" w14:textId="5B596ABD" w:rsidR="00B31168" w:rsidRPr="00A5215F" w:rsidRDefault="00B31168" w:rsidP="00B31168">
      <w:pPr>
        <w:jc w:val="both"/>
        <w:rPr>
          <w:color w:val="000000"/>
          <w:sz w:val="22"/>
          <w:szCs w:val="22"/>
          <w:lang w:val="de-DE"/>
        </w:rPr>
      </w:pPr>
      <w:r w:rsidRPr="7EE6BD28">
        <w:rPr>
          <w:sz w:val="22"/>
          <w:szCs w:val="22"/>
          <w:lang w:val="de-DE"/>
        </w:rPr>
        <w:t>Da D aufgrund positiver Kenntnis bösgläubig ist, müsste er der K in diesem Falle alle gezogenen Nutzungen, einschließlich der Gebrauchsvorteile analog §§ 990 Abs. 1 S. 1, 987 Abs. 1, 100 BGB herausgeben. Die h. M. begründet dies damit, dass die Vormerkung ein Anwartschaftsrecht darstellt, auf welches diese Vorschriften entsprechend angewendet werden können. Der Vormerkungsberechtigte gilt in dem Fall als Nutzungsberechtigter.</w:t>
      </w:r>
    </w:p>
    <w:p w14:paraId="0DE4B5B7" w14:textId="77777777" w:rsidR="00063444" w:rsidRPr="00A5215F" w:rsidRDefault="00063444" w:rsidP="00063444">
      <w:pPr>
        <w:jc w:val="both"/>
        <w:rPr>
          <w:sz w:val="22"/>
          <w:szCs w:val="22"/>
          <w:lang w:val="de-DE"/>
        </w:rPr>
      </w:pPr>
    </w:p>
    <w:p w14:paraId="40A1161A" w14:textId="77777777" w:rsidR="00063444" w:rsidRPr="00A5215F" w:rsidRDefault="00063444" w:rsidP="00063444">
      <w:pPr>
        <w:jc w:val="both"/>
        <w:rPr>
          <w:b/>
          <w:sz w:val="22"/>
          <w:szCs w:val="22"/>
          <w:u w:val="single"/>
          <w:lang w:val="de-DE"/>
        </w:rPr>
      </w:pPr>
      <w:r w:rsidRPr="00A5215F">
        <w:rPr>
          <w:b/>
          <w:sz w:val="22"/>
          <w:szCs w:val="22"/>
          <w:u w:val="single"/>
          <w:lang w:val="de-DE"/>
        </w:rPr>
        <w:lastRenderedPageBreak/>
        <w:t>Fall 12</w:t>
      </w:r>
    </w:p>
    <w:p w14:paraId="66204FF1" w14:textId="77777777" w:rsidR="00063444" w:rsidRPr="00A5215F" w:rsidRDefault="00063444" w:rsidP="00063444">
      <w:pPr>
        <w:rPr>
          <w:lang w:val="de-DE"/>
        </w:rPr>
      </w:pPr>
    </w:p>
    <w:p w14:paraId="2FF16015" w14:textId="1060B519" w:rsidR="00B31168" w:rsidRPr="00A5215F" w:rsidRDefault="00B31168" w:rsidP="00B31168">
      <w:pPr>
        <w:jc w:val="both"/>
        <w:rPr>
          <w:color w:val="000000"/>
          <w:sz w:val="22"/>
          <w:szCs w:val="22"/>
          <w:lang w:val="de-DE"/>
        </w:rPr>
      </w:pPr>
      <w:r w:rsidRPr="7EE6BD28">
        <w:rPr>
          <w:color w:val="000000" w:themeColor="text1"/>
          <w:sz w:val="22"/>
          <w:szCs w:val="22"/>
          <w:lang w:val="de-DE"/>
        </w:rPr>
        <w:t xml:space="preserve">Fraglich ist, ob ein gutgläubiger Erwerb des Eigentums an dem Grundstück durch K trotz der Eintragung der Eigentümerstellung der A möglich ist. </w:t>
      </w:r>
    </w:p>
    <w:p w14:paraId="202CCA94" w14:textId="69102ACA" w:rsidR="00B31168" w:rsidRPr="00A5215F" w:rsidRDefault="00B31168" w:rsidP="00B31168">
      <w:pPr>
        <w:jc w:val="both"/>
        <w:rPr>
          <w:color w:val="000000"/>
          <w:sz w:val="22"/>
          <w:szCs w:val="22"/>
          <w:lang w:val="de-DE"/>
        </w:rPr>
      </w:pPr>
      <w:r w:rsidRPr="7EE6BD28">
        <w:rPr>
          <w:color w:val="000000" w:themeColor="text1"/>
          <w:sz w:val="22"/>
          <w:szCs w:val="22"/>
          <w:lang w:val="de-DE"/>
        </w:rPr>
        <w:t>Grundsätzlich muss im Rahmen des gutgläubigen Erwerbs nach § 892 BGB die Gutgläubigkeit beim Vollrechtserwerb vorliegen, was hier aufgrund der vorher stattgefundenen Berichtigung des Grundbuchs zu verneinen ist. Jedoch wird im Falle einer bestehenden Vormerkung entgegen dieses Grundsatzes aufgrund der umfassenden Schutzwirkung der Vormerkung (§ 883 Abs. 2 BGB) auf den Zeitpunkt der Vormerkungseintragung abgestellt. Voraussetzung ist vorliegend demnach das Bestehen einer wirksamen Vormerkung zugunsten der K.</w:t>
      </w:r>
    </w:p>
    <w:p w14:paraId="38A88D6A"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E war mangels Eigentümerstellung nicht berechtigt, die Vormerkung zu bewilligen (§ 885 Abs. 1 BGB). </w:t>
      </w:r>
    </w:p>
    <w:p w14:paraId="583052C8" w14:textId="77777777" w:rsidR="00B31168" w:rsidRPr="00A5215F" w:rsidRDefault="00B31168" w:rsidP="00B31168">
      <w:pPr>
        <w:jc w:val="both"/>
        <w:rPr>
          <w:color w:val="000000"/>
          <w:sz w:val="22"/>
          <w:szCs w:val="22"/>
          <w:lang w:val="de-DE"/>
        </w:rPr>
      </w:pPr>
      <w:r w:rsidRPr="00A5215F">
        <w:rPr>
          <w:color w:val="000000"/>
          <w:sz w:val="22"/>
          <w:szCs w:val="22"/>
          <w:lang w:val="de-DE"/>
        </w:rPr>
        <w:t>Jedoch könnte K die Vormerkung gutgläubig erworben haben. Voraussetzung dafür ist zunächst die Bewilligung der Vormerkung durch den Nichtberechtigten und das tatsächliche Bestehen des zu sichernden Anspruchs. Beides ist hier gegeben. K hat somit gemäß (nach a. A. analog) §§ 893 2. Alt., 892 BGB gutgläubig die Vormerkung erworben.</w:t>
      </w:r>
    </w:p>
    <w:p w14:paraId="0C6DA61B" w14:textId="77777777" w:rsidR="00B31168" w:rsidRPr="00A5215F" w:rsidRDefault="00B31168" w:rsidP="00B31168">
      <w:pPr>
        <w:jc w:val="both"/>
        <w:rPr>
          <w:color w:val="000000"/>
          <w:sz w:val="22"/>
          <w:szCs w:val="22"/>
          <w:lang w:val="de-DE"/>
        </w:rPr>
      </w:pPr>
      <w:r w:rsidRPr="00A5215F">
        <w:rPr>
          <w:color w:val="000000"/>
          <w:sz w:val="22"/>
          <w:szCs w:val="22"/>
          <w:lang w:val="de-DE"/>
        </w:rPr>
        <w:t>Anschließende Kenntnis berührt die Wirkung der Vormerkung und damit den Rechtserwerb nicht.</w:t>
      </w:r>
    </w:p>
    <w:p w14:paraId="1CFEBCC6" w14:textId="77777777" w:rsidR="00B31168" w:rsidRPr="00A5215F" w:rsidRDefault="00B31168" w:rsidP="00B31168">
      <w:pPr>
        <w:jc w:val="both"/>
        <w:rPr>
          <w:color w:val="000000"/>
          <w:sz w:val="22"/>
          <w:szCs w:val="22"/>
          <w:lang w:val="de-DE"/>
        </w:rPr>
      </w:pPr>
      <w:r w:rsidRPr="00A5215F">
        <w:rPr>
          <w:color w:val="000000"/>
          <w:sz w:val="22"/>
          <w:szCs w:val="22"/>
          <w:lang w:val="de-DE"/>
        </w:rPr>
        <w:t xml:space="preserve">K hat gegen E somit einen Anspruch auf Erfüllung aus § 433 Abs. 1 BGB. E kann sich nicht auf Unmöglichkeit berufen. </w:t>
      </w:r>
    </w:p>
    <w:p w14:paraId="2249ABA2" w14:textId="77777777" w:rsidR="00063444" w:rsidRPr="00A5215F" w:rsidRDefault="00B31168" w:rsidP="00B31168">
      <w:pPr>
        <w:jc w:val="both"/>
        <w:rPr>
          <w:sz w:val="22"/>
          <w:szCs w:val="22"/>
          <w:lang w:val="de-DE"/>
        </w:rPr>
      </w:pPr>
      <w:r w:rsidRPr="00A5215F">
        <w:rPr>
          <w:color w:val="000000"/>
          <w:sz w:val="22"/>
          <w:szCs w:val="22"/>
          <w:lang w:val="de-DE"/>
        </w:rPr>
        <w:t>Gegen A hat K einen Anspruch analog § 888 Abs. 1 BGB, die Eintragung des vorgemerkten Rechts zu bewilligen.</w:t>
      </w:r>
    </w:p>
    <w:p w14:paraId="2DBF0D7D" w14:textId="77777777" w:rsidR="00063444" w:rsidRPr="00A5215F" w:rsidRDefault="00063444" w:rsidP="00063444">
      <w:pPr>
        <w:jc w:val="both"/>
        <w:rPr>
          <w:b/>
          <w:sz w:val="22"/>
          <w:szCs w:val="22"/>
          <w:lang w:val="de-DE"/>
        </w:rPr>
      </w:pPr>
    </w:p>
    <w:p w14:paraId="6B62F1B3" w14:textId="77777777" w:rsidR="00063444" w:rsidRPr="00A5215F" w:rsidRDefault="00063444" w:rsidP="00063444">
      <w:pPr>
        <w:jc w:val="both"/>
        <w:rPr>
          <w:b/>
          <w:sz w:val="22"/>
          <w:szCs w:val="22"/>
          <w:lang w:val="de-DE"/>
        </w:rPr>
      </w:pPr>
    </w:p>
    <w:p w14:paraId="29A0B64D" w14:textId="77777777" w:rsidR="00063444" w:rsidRPr="00A5215F" w:rsidRDefault="00063444" w:rsidP="00063444">
      <w:pPr>
        <w:jc w:val="both"/>
        <w:rPr>
          <w:b/>
          <w:sz w:val="22"/>
          <w:szCs w:val="22"/>
          <w:u w:val="single"/>
          <w:lang w:val="de-DE"/>
        </w:rPr>
      </w:pPr>
      <w:r w:rsidRPr="00A5215F">
        <w:rPr>
          <w:b/>
          <w:sz w:val="22"/>
          <w:szCs w:val="22"/>
          <w:u w:val="single"/>
          <w:lang w:val="de-DE"/>
        </w:rPr>
        <w:t>Fall 13</w:t>
      </w:r>
    </w:p>
    <w:p w14:paraId="02F2C34E" w14:textId="77777777" w:rsidR="00063444" w:rsidRPr="00A5215F" w:rsidRDefault="00063444" w:rsidP="00063444">
      <w:pPr>
        <w:jc w:val="both"/>
        <w:rPr>
          <w:sz w:val="22"/>
          <w:szCs w:val="22"/>
          <w:lang w:val="de-DE"/>
        </w:rPr>
      </w:pPr>
    </w:p>
    <w:p w14:paraId="4DFD3F66" w14:textId="2C4675C1" w:rsidR="00B31168" w:rsidRPr="00A5215F" w:rsidRDefault="00B31168" w:rsidP="00B31168">
      <w:pPr>
        <w:jc w:val="both"/>
        <w:rPr>
          <w:spacing w:val="-2"/>
          <w:sz w:val="22"/>
          <w:szCs w:val="22"/>
          <w:lang w:val="de-DE"/>
        </w:rPr>
      </w:pPr>
      <w:r w:rsidRPr="00A5215F">
        <w:rPr>
          <w:spacing w:val="-2"/>
          <w:sz w:val="22"/>
          <w:szCs w:val="22"/>
          <w:lang w:val="de-DE"/>
        </w:rPr>
        <w:t xml:space="preserve">Für X bestehen die gleichen Ansprüche wie im Fall 9 für K, wenn K ihre Ansprüche gegen E und D wirksam abgetreten hat. Dazu bedarf es der Abtretung des durch die Vormerkung gesicherten schuldrechtlichen Anspruchs nach § 398 BGB. Aufgrund der Akzessorietät geht die Vormerkung mit der Abtretung des gesicherten Anspruchs entsprechend § 401 BGB auf X über, ohne dass es einer Eintragung des Übergangs bedarf. </w:t>
      </w:r>
    </w:p>
    <w:p w14:paraId="680A4E5D" w14:textId="77777777" w:rsidR="00B31168" w:rsidRPr="00A5215F" w:rsidRDefault="00B31168" w:rsidP="00B31168">
      <w:pPr>
        <w:jc w:val="both"/>
        <w:rPr>
          <w:spacing w:val="-2"/>
          <w:sz w:val="22"/>
          <w:szCs w:val="22"/>
          <w:lang w:val="de-DE"/>
        </w:rPr>
      </w:pPr>
    </w:p>
    <w:p w14:paraId="19219836" w14:textId="77777777" w:rsidR="00B31168" w:rsidRPr="00A5215F" w:rsidRDefault="00B31168" w:rsidP="00B31168">
      <w:pPr>
        <w:jc w:val="both"/>
        <w:rPr>
          <w:spacing w:val="-2"/>
          <w:sz w:val="22"/>
          <w:szCs w:val="22"/>
          <w:lang w:val="de-DE"/>
        </w:rPr>
      </w:pPr>
    </w:p>
    <w:p w14:paraId="71D9B3D0" w14:textId="77777777" w:rsidR="00B31168" w:rsidRPr="00A5215F" w:rsidRDefault="00B31168" w:rsidP="00B31168">
      <w:pPr>
        <w:jc w:val="both"/>
        <w:rPr>
          <w:b/>
          <w:spacing w:val="-2"/>
          <w:sz w:val="22"/>
          <w:szCs w:val="22"/>
          <w:u w:val="single"/>
          <w:lang w:val="de-DE"/>
        </w:rPr>
      </w:pPr>
      <w:r w:rsidRPr="00A5215F">
        <w:rPr>
          <w:b/>
          <w:spacing w:val="-2"/>
          <w:sz w:val="22"/>
          <w:szCs w:val="22"/>
          <w:u w:val="single"/>
          <w:lang w:val="de-DE"/>
        </w:rPr>
        <w:t>Fall 14</w:t>
      </w:r>
    </w:p>
    <w:p w14:paraId="296FEF7D" w14:textId="77777777" w:rsidR="00B31168" w:rsidRPr="00A5215F" w:rsidRDefault="00B31168" w:rsidP="00B31168">
      <w:pPr>
        <w:jc w:val="both"/>
        <w:rPr>
          <w:spacing w:val="-2"/>
          <w:sz w:val="22"/>
          <w:szCs w:val="22"/>
          <w:lang w:val="de-DE"/>
        </w:rPr>
      </w:pPr>
    </w:p>
    <w:p w14:paraId="70989808" w14:textId="3CC24DAC" w:rsidR="00B31168" w:rsidRPr="00A5215F" w:rsidRDefault="00B31168" w:rsidP="00B31168">
      <w:pPr>
        <w:jc w:val="both"/>
        <w:rPr>
          <w:spacing w:val="-2"/>
          <w:sz w:val="22"/>
          <w:szCs w:val="22"/>
          <w:lang w:val="de-DE"/>
        </w:rPr>
      </w:pPr>
      <w:r w:rsidRPr="00A5215F">
        <w:rPr>
          <w:spacing w:val="-2"/>
          <w:sz w:val="22"/>
          <w:szCs w:val="22"/>
          <w:lang w:val="de-DE"/>
        </w:rPr>
        <w:t xml:space="preserve">Durch die Anfechtung ist der Grundstückskaufvertrag gem. § 142 Abs. 1 BGB von Anfang an nichtig. Die Anfechtung schlägt sich aufgrund der arglistigen Täuschung auch auf etwaige Verfügungsgeschäfte (Auflassung) durch K nieder (Lehre von der Fehleridentität). Tritt die K nun den angeblichen Anspruch an X ab, so wird diese nicht geschützt, d.h. ein gutgläubiger Zweiterwerb der Vormerkung bei nicht bestehender Forderung durch X ist nicht möglich. Die zu Unrecht eingetragene Vormerkung kann aufgrund der Akzessorietät zum Anspruch (analog § 401 BGB) nicht allein übertragen werden. Der in § 892 BGB geforderte rechtsgeschäftliche Erwerb der Vormerkung liegt also nicht vor. </w:t>
      </w:r>
    </w:p>
    <w:p w14:paraId="7194DBDC" w14:textId="77777777" w:rsidR="00D07383" w:rsidRPr="00A5215F" w:rsidRDefault="00D07383" w:rsidP="00B31168">
      <w:pPr>
        <w:jc w:val="both"/>
        <w:rPr>
          <w:spacing w:val="-2"/>
          <w:sz w:val="22"/>
          <w:szCs w:val="22"/>
          <w:lang w:val="de-DE"/>
        </w:rPr>
      </w:pPr>
    </w:p>
    <w:p w14:paraId="769D0D3C" w14:textId="77777777" w:rsidR="00B31168" w:rsidRPr="00A5215F" w:rsidRDefault="00B31168" w:rsidP="00B31168">
      <w:pPr>
        <w:jc w:val="both"/>
        <w:rPr>
          <w:spacing w:val="-2"/>
          <w:sz w:val="22"/>
          <w:szCs w:val="22"/>
          <w:lang w:val="de-DE"/>
        </w:rPr>
      </w:pPr>
    </w:p>
    <w:p w14:paraId="3FFB7EBC" w14:textId="77777777" w:rsidR="00B31168" w:rsidRPr="00A5215F" w:rsidRDefault="00B31168" w:rsidP="00B31168">
      <w:pPr>
        <w:rPr>
          <w:b/>
          <w:sz w:val="22"/>
          <w:szCs w:val="22"/>
          <w:u w:val="single"/>
          <w:lang w:val="de-DE"/>
        </w:rPr>
      </w:pPr>
      <w:r w:rsidRPr="00A5215F">
        <w:rPr>
          <w:b/>
          <w:sz w:val="22"/>
          <w:szCs w:val="22"/>
          <w:u w:val="single"/>
          <w:lang w:val="de-DE"/>
        </w:rPr>
        <w:t>Fall 15</w:t>
      </w:r>
    </w:p>
    <w:p w14:paraId="54CD245A" w14:textId="77777777" w:rsidR="00B31168" w:rsidRPr="00A5215F" w:rsidRDefault="00B31168" w:rsidP="00B31168">
      <w:pPr>
        <w:rPr>
          <w:sz w:val="22"/>
          <w:szCs w:val="22"/>
          <w:lang w:val="de-DE"/>
        </w:rPr>
      </w:pPr>
    </w:p>
    <w:p w14:paraId="798C6385" w14:textId="77777777" w:rsidR="00B31168" w:rsidRPr="00A5215F" w:rsidRDefault="00B31168" w:rsidP="00B31168">
      <w:pPr>
        <w:jc w:val="both"/>
        <w:rPr>
          <w:sz w:val="22"/>
          <w:szCs w:val="22"/>
          <w:lang w:val="de-DE"/>
        </w:rPr>
      </w:pPr>
      <w:r w:rsidRPr="00A5215F">
        <w:rPr>
          <w:sz w:val="22"/>
          <w:szCs w:val="22"/>
          <w:lang w:val="de-DE"/>
        </w:rPr>
        <w:t xml:space="preserve">Fraglich ist, ob X hier die Vormerkung kraft guten Glaubens erworben hat, d.h. ein gutgläubiger Zweiterwerb einer bestehenden Forderung durch X möglich ist. </w:t>
      </w:r>
    </w:p>
    <w:p w14:paraId="1231BE67" w14:textId="77777777" w:rsidR="00B31168" w:rsidRPr="00A5215F" w:rsidRDefault="00B31168" w:rsidP="00B31168">
      <w:pPr>
        <w:jc w:val="both"/>
        <w:rPr>
          <w:sz w:val="22"/>
          <w:szCs w:val="22"/>
          <w:lang w:val="de-DE"/>
        </w:rPr>
      </w:pPr>
    </w:p>
    <w:p w14:paraId="4E9A425D" w14:textId="77777777" w:rsidR="00B31168" w:rsidRPr="00A5215F" w:rsidRDefault="00B31168" w:rsidP="00B31168">
      <w:pPr>
        <w:jc w:val="both"/>
        <w:rPr>
          <w:sz w:val="22"/>
          <w:szCs w:val="22"/>
          <w:lang w:val="de-DE"/>
        </w:rPr>
      </w:pPr>
      <w:r w:rsidRPr="00A5215F">
        <w:rPr>
          <w:sz w:val="22"/>
          <w:szCs w:val="22"/>
          <w:lang w:val="de-DE"/>
        </w:rPr>
        <w:t>Nach Auffassung der Rechtsprechung kann X gem. § 892 BGB die Vormerkung gutgläubig von K erwerben. Als erforderlicher rechtsgeschäftlicher Erwerb genüge es, dass die Forderungsabtretung nach § 398 BGB selbst ein Rechtsgeschäft sei.</w:t>
      </w:r>
    </w:p>
    <w:p w14:paraId="3FE483F1" w14:textId="77777777" w:rsidR="00B31168" w:rsidRPr="00A5215F" w:rsidRDefault="00B31168" w:rsidP="00B31168">
      <w:pPr>
        <w:jc w:val="both"/>
        <w:rPr>
          <w:sz w:val="22"/>
          <w:szCs w:val="22"/>
          <w:lang w:val="de-DE"/>
        </w:rPr>
      </w:pPr>
      <w:r w:rsidRPr="00A5215F">
        <w:rPr>
          <w:sz w:val="22"/>
          <w:szCs w:val="22"/>
          <w:lang w:val="de-DE"/>
        </w:rPr>
        <w:t>Die h.L. dagegen verneint einen gutgläubigen Erwerb, da es an einem rechtsgeschäftlichen Erwerb fehle.</w:t>
      </w:r>
    </w:p>
    <w:p w14:paraId="36FEB5B0" w14:textId="77777777" w:rsidR="00B31168" w:rsidRPr="00A5215F" w:rsidRDefault="00B31168" w:rsidP="00B31168">
      <w:pPr>
        <w:jc w:val="both"/>
        <w:rPr>
          <w:sz w:val="22"/>
          <w:szCs w:val="22"/>
          <w:lang w:val="de-DE"/>
        </w:rPr>
      </w:pPr>
    </w:p>
    <w:p w14:paraId="35299A02" w14:textId="77777777" w:rsidR="00B31168" w:rsidRPr="00A5215F" w:rsidRDefault="00B31168" w:rsidP="00B31168">
      <w:pPr>
        <w:jc w:val="both"/>
        <w:rPr>
          <w:sz w:val="22"/>
          <w:szCs w:val="22"/>
          <w:lang w:val="de-DE"/>
        </w:rPr>
      </w:pPr>
      <w:r w:rsidRPr="00A5215F">
        <w:rPr>
          <w:sz w:val="22"/>
          <w:szCs w:val="22"/>
          <w:lang w:val="de-DE"/>
        </w:rPr>
        <w:t xml:space="preserve">Für die h.L. spricht, dass der Erwerb der Vormerkung kraft Gesetzes (§ 401 BGB analog) aufgrund der Akzessorietät zum Anspruch gerade kein Rechtsgeschäft ist, wie dies aber in § 892 BGB gefordert ist. Eine Parallele zur Hypothek (dort ist die Frage in §§ 1154, 1155 BGB geregelt) kann nicht gezogen werden, da bei </w:t>
      </w:r>
      <w:r w:rsidRPr="00A5215F">
        <w:rPr>
          <w:sz w:val="22"/>
          <w:szCs w:val="22"/>
          <w:lang w:val="de-DE"/>
        </w:rPr>
        <w:lastRenderedPageBreak/>
        <w:t>der Abtretung des durch die Vormerkung gesicherten Anspruchs kein Publizitätserfordernis zu beachten ist.</w:t>
      </w:r>
    </w:p>
    <w:p w14:paraId="30D7AA69" w14:textId="77777777" w:rsidR="00B31168" w:rsidRPr="00A5215F" w:rsidRDefault="00B31168" w:rsidP="00B31168">
      <w:pPr>
        <w:jc w:val="both"/>
        <w:rPr>
          <w:sz w:val="22"/>
          <w:szCs w:val="22"/>
          <w:lang w:val="de-DE"/>
        </w:rPr>
      </w:pPr>
    </w:p>
    <w:p w14:paraId="7196D064" w14:textId="77777777" w:rsidR="00B31168" w:rsidRPr="00A5215F" w:rsidRDefault="00B31168" w:rsidP="00B31168">
      <w:pPr>
        <w:jc w:val="both"/>
        <w:rPr>
          <w:sz w:val="22"/>
          <w:szCs w:val="22"/>
          <w:lang w:val="de-DE"/>
        </w:rPr>
      </w:pPr>
    </w:p>
    <w:p w14:paraId="5B1244FB" w14:textId="77777777" w:rsidR="00B31168" w:rsidRPr="00A5215F" w:rsidRDefault="00B31168" w:rsidP="00B31168">
      <w:pPr>
        <w:rPr>
          <w:b/>
          <w:sz w:val="22"/>
          <w:szCs w:val="22"/>
          <w:u w:val="single"/>
          <w:lang w:val="de-DE"/>
        </w:rPr>
      </w:pPr>
      <w:r w:rsidRPr="00A5215F">
        <w:rPr>
          <w:b/>
          <w:sz w:val="22"/>
          <w:szCs w:val="22"/>
          <w:u w:val="single"/>
          <w:lang w:val="de-DE"/>
        </w:rPr>
        <w:t>Fall 16</w:t>
      </w:r>
    </w:p>
    <w:p w14:paraId="34FF1C98" w14:textId="77777777" w:rsidR="00B31168" w:rsidRPr="00A5215F" w:rsidRDefault="00B31168" w:rsidP="00B31168">
      <w:pPr>
        <w:jc w:val="both"/>
        <w:rPr>
          <w:sz w:val="22"/>
          <w:szCs w:val="22"/>
          <w:lang w:val="de-DE"/>
        </w:rPr>
      </w:pPr>
    </w:p>
    <w:p w14:paraId="2259D912" w14:textId="77777777" w:rsidR="00B31168" w:rsidRPr="00A5215F" w:rsidRDefault="00B31168" w:rsidP="00B31168">
      <w:pPr>
        <w:jc w:val="both"/>
        <w:rPr>
          <w:sz w:val="22"/>
          <w:szCs w:val="22"/>
          <w:lang w:val="de-DE"/>
        </w:rPr>
      </w:pPr>
      <w:r w:rsidRPr="00A5215F">
        <w:rPr>
          <w:sz w:val="22"/>
          <w:szCs w:val="22"/>
          <w:lang w:val="de-DE"/>
        </w:rPr>
        <w:t>Vorliegend soll mit der Vormerkung der vertraglich festgelegte Rückübertragungsanspruch im Falle groben Undankes des S oder seinen Gesamtrechtsnachfolgern gesichert werden. Gem. § 883 Abs. 1 S. 2 BGB können Vormerkungen auch zur Sicherung von künftigen oder bedingten Ansprüchen eingetragen werden.</w:t>
      </w:r>
    </w:p>
    <w:p w14:paraId="5CA425F9" w14:textId="77777777" w:rsidR="00B31168" w:rsidRPr="00A5215F" w:rsidRDefault="00B31168" w:rsidP="00B31168">
      <w:pPr>
        <w:jc w:val="both"/>
        <w:rPr>
          <w:sz w:val="22"/>
          <w:szCs w:val="22"/>
          <w:lang w:val="de-DE"/>
        </w:rPr>
      </w:pPr>
      <w:r w:rsidRPr="00A5215F">
        <w:rPr>
          <w:sz w:val="22"/>
          <w:szCs w:val="22"/>
          <w:lang w:val="de-DE"/>
        </w:rPr>
        <w:t xml:space="preserve">Allerdings kann ein Vormerkungsschutz für bedingte und künftige Ansprüche nach ständiger Rechtsprechung nur bestehen, wenn bereits eine feste Grundlage für die Ausgestaltung des Anspruches vorhanden ist. Andernfalls würden sich im Grundbuch zahlreiche Ansprüche wiederfinden, deren Entstehung gänzlich ungewiss ist. Damit wäre die Verkehrsfähigkeit der betroffenen Grundstücke in hohem Maße beeinträchtigt. Daher setzt ein bedingt abgeschlossenes Rechtsgeschäft einen sicheren „Rechtsboden“ für die künftige Wirksamkeit des Anspruchs voraus. Die Rückübereignungsverpflichtung wurde hier notariell beurkundet, sodass ein sicherer „Rechtsboden“ vorliegt, denn die Tatsache, dass das Eintreten des Anspruches vom subjektiven Willen des S oder seiner Erben abhängt, steht dem nicht entgegen. </w:t>
      </w:r>
    </w:p>
    <w:p w14:paraId="4C077CAA" w14:textId="77777777" w:rsidR="00B31168" w:rsidRPr="00A5215F" w:rsidRDefault="00B31168" w:rsidP="00B31168">
      <w:pPr>
        <w:jc w:val="both"/>
        <w:rPr>
          <w:sz w:val="22"/>
          <w:szCs w:val="22"/>
          <w:lang w:val="de-DE"/>
        </w:rPr>
      </w:pPr>
      <w:r w:rsidRPr="00A5215F">
        <w:rPr>
          <w:sz w:val="22"/>
          <w:szCs w:val="22"/>
          <w:lang w:val="de-DE"/>
        </w:rPr>
        <w:t xml:space="preserve">Die Maßstäbe des groben Undankes stehen auch nicht dem Bestimmtheitsgebot des Grundbuches entgegen. Zwar kommt es bei der Auslegung des groben Undankes im Sinne von § 530 Abs. 1 BGB auf die Umstände des Einzelfalles an, jedoch wurde der Begriff durch die höchstrichterliche Rechtsprechung hinreichend ausgefüllt. Ein objektiv bestimmbarer Bedeutungsinhalt ist daher gegeben. </w:t>
      </w:r>
    </w:p>
    <w:p w14:paraId="32E3E625" w14:textId="77777777" w:rsidR="00B31168" w:rsidRPr="00A5215F" w:rsidRDefault="00B31168" w:rsidP="00B31168">
      <w:pPr>
        <w:jc w:val="both"/>
        <w:rPr>
          <w:sz w:val="22"/>
          <w:szCs w:val="22"/>
          <w:lang w:val="de-DE"/>
        </w:rPr>
      </w:pPr>
      <w:r w:rsidRPr="00A5215F">
        <w:rPr>
          <w:sz w:val="22"/>
          <w:szCs w:val="22"/>
          <w:lang w:val="de-DE"/>
        </w:rPr>
        <w:t xml:space="preserve">Der Vormerkbarkeit der Rückübereignungsverpflichtung steht auch nicht im Wege, dass sie sich auch auf die Erben des S bezieht. Denn gem. § 884 BGB wirkt eine Vormerkung auch gegenüber den Erben. </w:t>
      </w:r>
    </w:p>
    <w:p w14:paraId="22FEC9FE" w14:textId="77777777" w:rsidR="00B31168" w:rsidRPr="00A5215F" w:rsidRDefault="00B31168" w:rsidP="00B31168">
      <w:pPr>
        <w:jc w:val="both"/>
        <w:rPr>
          <w:sz w:val="22"/>
          <w:szCs w:val="22"/>
          <w:lang w:val="de-DE"/>
        </w:rPr>
      </w:pPr>
      <w:r w:rsidRPr="00A5215F">
        <w:rPr>
          <w:sz w:val="22"/>
          <w:szCs w:val="22"/>
          <w:lang w:val="de-DE"/>
        </w:rPr>
        <w:t xml:space="preserve">Mithin kann die Rückübereignungspflicht im Falle groben Undankes mit einer Vormerkung im Grundbuch gesichert werden. </w:t>
      </w:r>
    </w:p>
    <w:p w14:paraId="73E9BD63" w14:textId="77777777" w:rsidR="00B31168" w:rsidRPr="00A5215F" w:rsidRDefault="00B31168" w:rsidP="00B31168">
      <w:pPr>
        <w:jc w:val="both"/>
        <w:rPr>
          <w:sz w:val="22"/>
          <w:szCs w:val="22"/>
          <w:lang w:val="de-DE"/>
        </w:rPr>
      </w:pPr>
      <w:r w:rsidRPr="00A5215F">
        <w:rPr>
          <w:sz w:val="22"/>
          <w:szCs w:val="22"/>
          <w:lang w:val="de-DE"/>
        </w:rPr>
        <w:t>(</w:t>
      </w:r>
      <w:r w:rsidRPr="00A5215F">
        <w:rPr>
          <w:i/>
          <w:sz w:val="22"/>
          <w:szCs w:val="22"/>
          <w:lang w:val="de-DE"/>
        </w:rPr>
        <w:t>BGH</w:t>
      </w:r>
      <w:r w:rsidRPr="00A5215F">
        <w:rPr>
          <w:sz w:val="22"/>
          <w:szCs w:val="22"/>
          <w:lang w:val="de-DE"/>
        </w:rPr>
        <w:t xml:space="preserve">, Beschl. v. 13.6.2002 </w:t>
      </w:r>
      <w:r w:rsidRPr="00A5215F">
        <w:rPr>
          <w:sz w:val="22"/>
          <w:szCs w:val="22"/>
          <w:lang w:val="de-DE"/>
        </w:rPr>
        <w:softHyphen/>
        <w:t xml:space="preserve"> V ZB 30/01 = NJW 2002, 2461)</w:t>
      </w:r>
    </w:p>
    <w:p w14:paraId="6D072C0D" w14:textId="77777777" w:rsidR="00B31168" w:rsidRPr="00A5215F" w:rsidRDefault="00B31168" w:rsidP="00B31168">
      <w:pPr>
        <w:jc w:val="both"/>
        <w:rPr>
          <w:sz w:val="22"/>
          <w:szCs w:val="22"/>
          <w:lang w:val="de-DE"/>
        </w:rPr>
      </w:pPr>
    </w:p>
    <w:p w14:paraId="48A21919" w14:textId="77777777" w:rsidR="00B31168" w:rsidRPr="00A5215F" w:rsidRDefault="00B31168" w:rsidP="00B31168">
      <w:pPr>
        <w:jc w:val="both"/>
        <w:rPr>
          <w:spacing w:val="-2"/>
          <w:sz w:val="22"/>
          <w:szCs w:val="22"/>
          <w:lang w:val="de-DE"/>
        </w:rPr>
      </w:pPr>
    </w:p>
    <w:p w14:paraId="6BD18F9B" w14:textId="77777777" w:rsidR="00C90AA0" w:rsidRPr="00A5215F" w:rsidRDefault="00C90AA0" w:rsidP="00657AB0">
      <w:pPr>
        <w:tabs>
          <w:tab w:val="center" w:pos="-1134"/>
          <w:tab w:val="center" w:pos="4819"/>
        </w:tabs>
        <w:jc w:val="both"/>
        <w:rPr>
          <w:sz w:val="22"/>
          <w:szCs w:val="22"/>
          <w:lang w:val="de-DE"/>
        </w:rPr>
      </w:pPr>
    </w:p>
    <w:sectPr w:rsidR="00C90AA0" w:rsidRPr="00A5215F">
      <w:headerReference w:type="even" r:id="rId8"/>
      <w:headerReference w:type="default" r:id="rId9"/>
      <w:footerReference w:type="even" r:id="rId10"/>
      <w:footerReference w:type="default" r:id="rId11"/>
      <w:headerReference w:type="first" r:id="rId12"/>
      <w:footerReference w:type="first" r:id="rId13"/>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B5D1" w14:textId="77777777" w:rsidR="007E3DDD" w:rsidRDefault="007E3DDD">
      <w:r>
        <w:separator/>
      </w:r>
    </w:p>
  </w:endnote>
  <w:endnote w:type="continuationSeparator" w:id="0">
    <w:p w14:paraId="16DEB4AB" w14:textId="77777777" w:rsidR="007E3DDD" w:rsidRDefault="007E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409" w14:textId="77777777" w:rsidR="00C90AA0" w:rsidRDefault="00C90A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7B0" w14:textId="42C8B79D" w:rsidR="0038324F" w:rsidRDefault="0038324F">
    <w:pPr>
      <w:pStyle w:val="Fuzeile"/>
      <w:jc w:val="right"/>
    </w:pPr>
    <w:r>
      <w:fldChar w:fldCharType="begin"/>
    </w:r>
    <w:r>
      <w:instrText>PAGE   \* MERGEFORMAT</w:instrText>
    </w:r>
    <w:r>
      <w:fldChar w:fldCharType="separate"/>
    </w:r>
    <w:r w:rsidR="001A5059" w:rsidRPr="001A5059">
      <w:rPr>
        <w:noProof/>
        <w:lang w:val="de-DE"/>
      </w:rPr>
      <w:t>6</w:t>
    </w:r>
    <w:r>
      <w:fldChar w:fldCharType="end"/>
    </w:r>
  </w:p>
  <w:p w14:paraId="5023141B" w14:textId="77777777" w:rsidR="0038324F" w:rsidRDefault="003832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C90AA0" w:rsidRDefault="00C90A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7E3DDD" w:rsidRDefault="007E3DDD">
      <w:r>
        <w:separator/>
      </w:r>
    </w:p>
  </w:footnote>
  <w:footnote w:type="continuationSeparator" w:id="0">
    <w:p w14:paraId="65F9C3DC" w14:textId="77777777" w:rsidR="007E3DDD" w:rsidRDefault="007E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C90AA0" w:rsidRDefault="00C90A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EF22CF" w:rsidRPr="00B17FDF" w:rsidRDefault="00EF41DB" w:rsidP="00C90AA0">
    <w:pPr>
      <w:pStyle w:val="1Fliesstext"/>
    </w:pPr>
    <w:r w:rsidRPr="008C40E1">
      <w:rPr>
        <w:noProof/>
      </w:rPr>
      <w:drawing>
        <wp:inline distT="0" distB="0" distL="0" distR="0" wp14:anchorId="233D07AC"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C90AA0">
      <w:t xml:space="preserve"> </w:t>
    </w:r>
    <w:r w:rsidR="00C90AA0">
      <w:tab/>
    </w:r>
    <w:r w:rsidR="00C90AA0">
      <w:tab/>
    </w:r>
    <w:r w:rsidR="00C90AA0">
      <w:tab/>
    </w:r>
    <w:r w:rsidR="00C90AA0">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77777777" w:rsidR="00C90AA0" w:rsidRDefault="00C90A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4F1"/>
    <w:multiLevelType w:val="hybridMultilevel"/>
    <w:tmpl w:val="8A905A14"/>
    <w:lvl w:ilvl="0" w:tplc="971444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5438C"/>
    <w:multiLevelType w:val="hybridMultilevel"/>
    <w:tmpl w:val="00FC3724"/>
    <w:lvl w:ilvl="0" w:tplc="909E76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25319"/>
    <w:multiLevelType w:val="hybridMultilevel"/>
    <w:tmpl w:val="9A04263C"/>
    <w:lvl w:ilvl="0" w:tplc="3D1838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77305"/>
    <w:multiLevelType w:val="hybridMultilevel"/>
    <w:tmpl w:val="9582015E"/>
    <w:lvl w:ilvl="0" w:tplc="20F25C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1F4363"/>
    <w:multiLevelType w:val="hybridMultilevel"/>
    <w:tmpl w:val="2820D0BA"/>
    <w:lvl w:ilvl="0" w:tplc="491647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B6"/>
    <w:multiLevelType w:val="hybridMultilevel"/>
    <w:tmpl w:val="A8FEA078"/>
    <w:lvl w:ilvl="0" w:tplc="C6B46D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A65976"/>
    <w:multiLevelType w:val="hybridMultilevel"/>
    <w:tmpl w:val="76064E0A"/>
    <w:lvl w:ilvl="0" w:tplc="AB4610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10B20"/>
    <w:multiLevelType w:val="hybridMultilevel"/>
    <w:tmpl w:val="785494A0"/>
    <w:lvl w:ilvl="0" w:tplc="43DA61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48774E"/>
    <w:multiLevelType w:val="hybridMultilevel"/>
    <w:tmpl w:val="90242E68"/>
    <w:lvl w:ilvl="0" w:tplc="DE4479D4">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A2D13"/>
    <w:multiLevelType w:val="hybridMultilevel"/>
    <w:tmpl w:val="FA423818"/>
    <w:lvl w:ilvl="0" w:tplc="13A296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A7782B"/>
    <w:multiLevelType w:val="hybridMultilevel"/>
    <w:tmpl w:val="DB641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2841FD"/>
    <w:multiLevelType w:val="hybridMultilevel"/>
    <w:tmpl w:val="D9B6AA26"/>
    <w:lvl w:ilvl="0" w:tplc="4516CF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346341"/>
    <w:multiLevelType w:val="hybridMultilevel"/>
    <w:tmpl w:val="F90A9FFE"/>
    <w:lvl w:ilvl="0" w:tplc="071875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255140"/>
    <w:multiLevelType w:val="hybridMultilevel"/>
    <w:tmpl w:val="C8B0AB70"/>
    <w:lvl w:ilvl="0" w:tplc="B7C207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E7392E"/>
    <w:multiLevelType w:val="hybridMultilevel"/>
    <w:tmpl w:val="2F60C60E"/>
    <w:lvl w:ilvl="0" w:tplc="489296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64559"/>
    <w:multiLevelType w:val="hybridMultilevel"/>
    <w:tmpl w:val="B854E37E"/>
    <w:lvl w:ilvl="0" w:tplc="0310F158">
      <w:start w:val="1"/>
      <w:numFmt w:val="upperRoman"/>
      <w:lvlText w:val="%1."/>
      <w:lvlJc w:val="left"/>
      <w:pPr>
        <w:ind w:left="1495" w:hanging="360"/>
      </w:pPr>
      <w:rPr>
        <w:rFonts w:ascii="Times New Roman" w:eastAsia="Calibri" w:hAnsi="Times New Roman"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33434BD1"/>
    <w:multiLevelType w:val="hybridMultilevel"/>
    <w:tmpl w:val="1D1C1B0E"/>
    <w:lvl w:ilvl="0" w:tplc="CDE443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86072D"/>
    <w:multiLevelType w:val="hybridMultilevel"/>
    <w:tmpl w:val="73F604AA"/>
    <w:lvl w:ilvl="0" w:tplc="E68884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C85D65"/>
    <w:multiLevelType w:val="hybridMultilevel"/>
    <w:tmpl w:val="1DD03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CC34BD"/>
    <w:multiLevelType w:val="hybridMultilevel"/>
    <w:tmpl w:val="5748F14C"/>
    <w:lvl w:ilvl="0" w:tplc="8B281928">
      <w:start w:val="2"/>
      <w:numFmt w:val="decimal"/>
      <w:lvlText w:val="%1."/>
      <w:lvlJc w:val="left"/>
      <w:pPr>
        <w:ind w:left="5175" w:hanging="360"/>
      </w:pPr>
      <w:rPr>
        <w:rFonts w:hint="default"/>
      </w:rPr>
    </w:lvl>
    <w:lvl w:ilvl="1" w:tplc="04070019" w:tentative="1">
      <w:start w:val="1"/>
      <w:numFmt w:val="lowerLetter"/>
      <w:lvlText w:val="%2."/>
      <w:lvlJc w:val="left"/>
      <w:pPr>
        <w:ind w:left="5895" w:hanging="360"/>
      </w:pPr>
    </w:lvl>
    <w:lvl w:ilvl="2" w:tplc="0407001B" w:tentative="1">
      <w:start w:val="1"/>
      <w:numFmt w:val="lowerRoman"/>
      <w:lvlText w:val="%3."/>
      <w:lvlJc w:val="right"/>
      <w:pPr>
        <w:ind w:left="6615" w:hanging="180"/>
      </w:pPr>
    </w:lvl>
    <w:lvl w:ilvl="3" w:tplc="0407000F" w:tentative="1">
      <w:start w:val="1"/>
      <w:numFmt w:val="decimal"/>
      <w:lvlText w:val="%4."/>
      <w:lvlJc w:val="left"/>
      <w:pPr>
        <w:ind w:left="7335" w:hanging="360"/>
      </w:pPr>
    </w:lvl>
    <w:lvl w:ilvl="4" w:tplc="04070019" w:tentative="1">
      <w:start w:val="1"/>
      <w:numFmt w:val="lowerLetter"/>
      <w:lvlText w:val="%5."/>
      <w:lvlJc w:val="left"/>
      <w:pPr>
        <w:ind w:left="8055" w:hanging="360"/>
      </w:pPr>
    </w:lvl>
    <w:lvl w:ilvl="5" w:tplc="0407001B" w:tentative="1">
      <w:start w:val="1"/>
      <w:numFmt w:val="lowerRoman"/>
      <w:lvlText w:val="%6."/>
      <w:lvlJc w:val="right"/>
      <w:pPr>
        <w:ind w:left="8775" w:hanging="180"/>
      </w:pPr>
    </w:lvl>
    <w:lvl w:ilvl="6" w:tplc="0407000F" w:tentative="1">
      <w:start w:val="1"/>
      <w:numFmt w:val="decimal"/>
      <w:lvlText w:val="%7."/>
      <w:lvlJc w:val="left"/>
      <w:pPr>
        <w:ind w:left="9495" w:hanging="360"/>
      </w:pPr>
    </w:lvl>
    <w:lvl w:ilvl="7" w:tplc="04070019" w:tentative="1">
      <w:start w:val="1"/>
      <w:numFmt w:val="lowerLetter"/>
      <w:lvlText w:val="%8."/>
      <w:lvlJc w:val="left"/>
      <w:pPr>
        <w:ind w:left="10215" w:hanging="360"/>
      </w:pPr>
    </w:lvl>
    <w:lvl w:ilvl="8" w:tplc="0407001B" w:tentative="1">
      <w:start w:val="1"/>
      <w:numFmt w:val="lowerRoman"/>
      <w:lvlText w:val="%9."/>
      <w:lvlJc w:val="right"/>
      <w:pPr>
        <w:ind w:left="10935" w:hanging="180"/>
      </w:pPr>
    </w:lvl>
  </w:abstractNum>
  <w:abstractNum w:abstractNumId="20" w15:restartNumberingAfterBreak="0">
    <w:nsid w:val="3D202EFA"/>
    <w:multiLevelType w:val="hybridMultilevel"/>
    <w:tmpl w:val="4A10AD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AD54A4"/>
    <w:multiLevelType w:val="hybridMultilevel"/>
    <w:tmpl w:val="E3A6D57C"/>
    <w:lvl w:ilvl="0" w:tplc="ED9E57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1364CA"/>
    <w:multiLevelType w:val="hybridMultilevel"/>
    <w:tmpl w:val="9E803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1B1F94"/>
    <w:multiLevelType w:val="hybridMultilevel"/>
    <w:tmpl w:val="2AEABFA4"/>
    <w:lvl w:ilvl="0" w:tplc="EAAEAA34">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45C13983"/>
    <w:multiLevelType w:val="hybridMultilevel"/>
    <w:tmpl w:val="D2FC900A"/>
    <w:lvl w:ilvl="0" w:tplc="2AFC8C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8E5412"/>
    <w:multiLevelType w:val="hybridMultilevel"/>
    <w:tmpl w:val="B6DCC174"/>
    <w:lvl w:ilvl="0" w:tplc="28BACB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335EAE"/>
    <w:multiLevelType w:val="hybridMultilevel"/>
    <w:tmpl w:val="714C0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39603B"/>
    <w:multiLevelType w:val="hybridMultilevel"/>
    <w:tmpl w:val="D5BE873E"/>
    <w:lvl w:ilvl="0" w:tplc="4A1EBC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1511B5"/>
    <w:multiLevelType w:val="hybridMultilevel"/>
    <w:tmpl w:val="FE802CF4"/>
    <w:lvl w:ilvl="0" w:tplc="5FC6BC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712289"/>
    <w:multiLevelType w:val="hybridMultilevel"/>
    <w:tmpl w:val="5950E828"/>
    <w:lvl w:ilvl="0" w:tplc="C2CEF6DE">
      <w:start w:val="1"/>
      <w:numFmt w:val="decimal"/>
      <w:lvlText w:val="%1."/>
      <w:lvlJc w:val="left"/>
      <w:pPr>
        <w:tabs>
          <w:tab w:val="num" w:pos="720"/>
        </w:tabs>
        <w:ind w:left="720" w:hanging="360"/>
      </w:pPr>
    </w:lvl>
    <w:lvl w:ilvl="1" w:tplc="2FD6A6A4" w:tentative="1">
      <w:start w:val="1"/>
      <w:numFmt w:val="decimal"/>
      <w:lvlText w:val="%2."/>
      <w:lvlJc w:val="left"/>
      <w:pPr>
        <w:tabs>
          <w:tab w:val="num" w:pos="1440"/>
        </w:tabs>
        <w:ind w:left="1440" w:hanging="360"/>
      </w:pPr>
    </w:lvl>
    <w:lvl w:ilvl="2" w:tplc="6D0E3B7A" w:tentative="1">
      <w:start w:val="1"/>
      <w:numFmt w:val="decimal"/>
      <w:lvlText w:val="%3."/>
      <w:lvlJc w:val="left"/>
      <w:pPr>
        <w:tabs>
          <w:tab w:val="num" w:pos="2160"/>
        </w:tabs>
        <w:ind w:left="2160" w:hanging="360"/>
      </w:pPr>
    </w:lvl>
    <w:lvl w:ilvl="3" w:tplc="2228A8C0" w:tentative="1">
      <w:start w:val="1"/>
      <w:numFmt w:val="decimal"/>
      <w:lvlText w:val="%4."/>
      <w:lvlJc w:val="left"/>
      <w:pPr>
        <w:tabs>
          <w:tab w:val="num" w:pos="2880"/>
        </w:tabs>
        <w:ind w:left="2880" w:hanging="360"/>
      </w:pPr>
    </w:lvl>
    <w:lvl w:ilvl="4" w:tplc="4B58CB98" w:tentative="1">
      <w:start w:val="1"/>
      <w:numFmt w:val="decimal"/>
      <w:lvlText w:val="%5."/>
      <w:lvlJc w:val="left"/>
      <w:pPr>
        <w:tabs>
          <w:tab w:val="num" w:pos="3600"/>
        </w:tabs>
        <w:ind w:left="3600" w:hanging="360"/>
      </w:pPr>
    </w:lvl>
    <w:lvl w:ilvl="5" w:tplc="1F22CB86" w:tentative="1">
      <w:start w:val="1"/>
      <w:numFmt w:val="decimal"/>
      <w:lvlText w:val="%6."/>
      <w:lvlJc w:val="left"/>
      <w:pPr>
        <w:tabs>
          <w:tab w:val="num" w:pos="4320"/>
        </w:tabs>
        <w:ind w:left="4320" w:hanging="360"/>
      </w:pPr>
    </w:lvl>
    <w:lvl w:ilvl="6" w:tplc="934EA92E" w:tentative="1">
      <w:start w:val="1"/>
      <w:numFmt w:val="decimal"/>
      <w:lvlText w:val="%7."/>
      <w:lvlJc w:val="left"/>
      <w:pPr>
        <w:tabs>
          <w:tab w:val="num" w:pos="5040"/>
        </w:tabs>
        <w:ind w:left="5040" w:hanging="360"/>
      </w:pPr>
    </w:lvl>
    <w:lvl w:ilvl="7" w:tplc="F13AE34A" w:tentative="1">
      <w:start w:val="1"/>
      <w:numFmt w:val="decimal"/>
      <w:lvlText w:val="%8."/>
      <w:lvlJc w:val="left"/>
      <w:pPr>
        <w:tabs>
          <w:tab w:val="num" w:pos="5760"/>
        </w:tabs>
        <w:ind w:left="5760" w:hanging="360"/>
      </w:pPr>
    </w:lvl>
    <w:lvl w:ilvl="8" w:tplc="212259BE" w:tentative="1">
      <w:start w:val="1"/>
      <w:numFmt w:val="decimal"/>
      <w:lvlText w:val="%9."/>
      <w:lvlJc w:val="left"/>
      <w:pPr>
        <w:tabs>
          <w:tab w:val="num" w:pos="6480"/>
        </w:tabs>
        <w:ind w:left="6480" w:hanging="360"/>
      </w:pPr>
    </w:lvl>
  </w:abstractNum>
  <w:abstractNum w:abstractNumId="30" w15:restartNumberingAfterBreak="0">
    <w:nsid w:val="4EA96CF2"/>
    <w:multiLevelType w:val="hybridMultilevel"/>
    <w:tmpl w:val="CE308186"/>
    <w:lvl w:ilvl="0" w:tplc="406602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486748"/>
    <w:multiLevelType w:val="hybridMultilevel"/>
    <w:tmpl w:val="CF0A69D2"/>
    <w:lvl w:ilvl="0" w:tplc="772E88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3C5F60"/>
    <w:multiLevelType w:val="hybridMultilevel"/>
    <w:tmpl w:val="8CCE4FC0"/>
    <w:lvl w:ilvl="0" w:tplc="83D870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4F0634"/>
    <w:multiLevelType w:val="hybridMultilevel"/>
    <w:tmpl w:val="50683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6EC5A31"/>
    <w:multiLevelType w:val="hybridMultilevel"/>
    <w:tmpl w:val="26D07A0E"/>
    <w:lvl w:ilvl="0" w:tplc="597E8E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2A4267"/>
    <w:multiLevelType w:val="hybridMultilevel"/>
    <w:tmpl w:val="875A1EE6"/>
    <w:lvl w:ilvl="0" w:tplc="6C80EC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D0614E"/>
    <w:multiLevelType w:val="hybridMultilevel"/>
    <w:tmpl w:val="B5122B18"/>
    <w:lvl w:ilvl="0" w:tplc="E6F618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1B312B"/>
    <w:multiLevelType w:val="hybridMultilevel"/>
    <w:tmpl w:val="51C8ED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A67B4F"/>
    <w:multiLevelType w:val="hybridMultilevel"/>
    <w:tmpl w:val="C5DAC446"/>
    <w:lvl w:ilvl="0" w:tplc="41C80B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D838A8"/>
    <w:multiLevelType w:val="hybridMultilevel"/>
    <w:tmpl w:val="A8FAEA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A54C0A"/>
    <w:multiLevelType w:val="hybridMultilevel"/>
    <w:tmpl w:val="67C8BFAE"/>
    <w:lvl w:ilvl="0" w:tplc="70D881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13700D"/>
    <w:multiLevelType w:val="hybridMultilevel"/>
    <w:tmpl w:val="C6E6E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20417A"/>
    <w:multiLevelType w:val="hybridMultilevel"/>
    <w:tmpl w:val="4878AE3C"/>
    <w:lvl w:ilvl="0" w:tplc="C50C0216">
      <w:start w:val="1"/>
      <w:numFmt w:val="decimal"/>
      <w:lvlText w:val="%1."/>
      <w:lvlJc w:val="left"/>
      <w:pPr>
        <w:tabs>
          <w:tab w:val="num" w:pos="720"/>
        </w:tabs>
        <w:ind w:left="720" w:hanging="360"/>
      </w:pPr>
    </w:lvl>
    <w:lvl w:ilvl="1" w:tplc="83F81FA6" w:tentative="1">
      <w:start w:val="1"/>
      <w:numFmt w:val="decimal"/>
      <w:lvlText w:val="%2."/>
      <w:lvlJc w:val="left"/>
      <w:pPr>
        <w:tabs>
          <w:tab w:val="num" w:pos="1440"/>
        </w:tabs>
        <w:ind w:left="1440" w:hanging="360"/>
      </w:pPr>
    </w:lvl>
    <w:lvl w:ilvl="2" w:tplc="701A30AE" w:tentative="1">
      <w:start w:val="1"/>
      <w:numFmt w:val="decimal"/>
      <w:lvlText w:val="%3."/>
      <w:lvlJc w:val="left"/>
      <w:pPr>
        <w:tabs>
          <w:tab w:val="num" w:pos="2160"/>
        </w:tabs>
        <w:ind w:left="2160" w:hanging="360"/>
      </w:pPr>
    </w:lvl>
    <w:lvl w:ilvl="3" w:tplc="EEBA1D92" w:tentative="1">
      <w:start w:val="1"/>
      <w:numFmt w:val="decimal"/>
      <w:lvlText w:val="%4."/>
      <w:lvlJc w:val="left"/>
      <w:pPr>
        <w:tabs>
          <w:tab w:val="num" w:pos="2880"/>
        </w:tabs>
        <w:ind w:left="2880" w:hanging="360"/>
      </w:pPr>
    </w:lvl>
    <w:lvl w:ilvl="4" w:tplc="DF7C3F5A" w:tentative="1">
      <w:start w:val="1"/>
      <w:numFmt w:val="decimal"/>
      <w:lvlText w:val="%5."/>
      <w:lvlJc w:val="left"/>
      <w:pPr>
        <w:tabs>
          <w:tab w:val="num" w:pos="3600"/>
        </w:tabs>
        <w:ind w:left="3600" w:hanging="360"/>
      </w:pPr>
    </w:lvl>
    <w:lvl w:ilvl="5" w:tplc="B8066ADC" w:tentative="1">
      <w:start w:val="1"/>
      <w:numFmt w:val="decimal"/>
      <w:lvlText w:val="%6."/>
      <w:lvlJc w:val="left"/>
      <w:pPr>
        <w:tabs>
          <w:tab w:val="num" w:pos="4320"/>
        </w:tabs>
        <w:ind w:left="4320" w:hanging="360"/>
      </w:pPr>
    </w:lvl>
    <w:lvl w:ilvl="6" w:tplc="F1FCDACE" w:tentative="1">
      <w:start w:val="1"/>
      <w:numFmt w:val="decimal"/>
      <w:lvlText w:val="%7."/>
      <w:lvlJc w:val="left"/>
      <w:pPr>
        <w:tabs>
          <w:tab w:val="num" w:pos="5040"/>
        </w:tabs>
        <w:ind w:left="5040" w:hanging="360"/>
      </w:pPr>
    </w:lvl>
    <w:lvl w:ilvl="7" w:tplc="B1A82FE8" w:tentative="1">
      <w:start w:val="1"/>
      <w:numFmt w:val="decimal"/>
      <w:lvlText w:val="%8."/>
      <w:lvlJc w:val="left"/>
      <w:pPr>
        <w:tabs>
          <w:tab w:val="num" w:pos="5760"/>
        </w:tabs>
        <w:ind w:left="5760" w:hanging="360"/>
      </w:pPr>
    </w:lvl>
    <w:lvl w:ilvl="8" w:tplc="3EB283A0" w:tentative="1">
      <w:start w:val="1"/>
      <w:numFmt w:val="decimal"/>
      <w:lvlText w:val="%9."/>
      <w:lvlJc w:val="left"/>
      <w:pPr>
        <w:tabs>
          <w:tab w:val="num" w:pos="6480"/>
        </w:tabs>
        <w:ind w:left="6480" w:hanging="360"/>
      </w:pPr>
    </w:lvl>
  </w:abstractNum>
  <w:abstractNum w:abstractNumId="43" w15:restartNumberingAfterBreak="0">
    <w:nsid w:val="790C0E75"/>
    <w:multiLevelType w:val="hybridMultilevel"/>
    <w:tmpl w:val="F844DE4E"/>
    <w:lvl w:ilvl="0" w:tplc="672EF1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2D00BB"/>
    <w:multiLevelType w:val="hybridMultilevel"/>
    <w:tmpl w:val="76306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492C6B"/>
    <w:multiLevelType w:val="hybridMultilevel"/>
    <w:tmpl w:val="B7605944"/>
    <w:lvl w:ilvl="0" w:tplc="18C004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5F2F19"/>
    <w:multiLevelType w:val="hybridMultilevel"/>
    <w:tmpl w:val="2C726C3E"/>
    <w:lvl w:ilvl="0" w:tplc="E6308734">
      <w:start w:val="1"/>
      <w:numFmt w:val="decimal"/>
      <w:lvlText w:val="%1."/>
      <w:lvlJc w:val="left"/>
      <w:pPr>
        <w:tabs>
          <w:tab w:val="num" w:pos="720"/>
        </w:tabs>
        <w:ind w:left="720" w:hanging="360"/>
      </w:pPr>
    </w:lvl>
    <w:lvl w:ilvl="1" w:tplc="6F06C1EE" w:tentative="1">
      <w:start w:val="1"/>
      <w:numFmt w:val="decimal"/>
      <w:lvlText w:val="%2."/>
      <w:lvlJc w:val="left"/>
      <w:pPr>
        <w:tabs>
          <w:tab w:val="num" w:pos="1440"/>
        </w:tabs>
        <w:ind w:left="1440" w:hanging="360"/>
      </w:pPr>
    </w:lvl>
    <w:lvl w:ilvl="2" w:tplc="4D1CB906" w:tentative="1">
      <w:start w:val="1"/>
      <w:numFmt w:val="decimal"/>
      <w:lvlText w:val="%3."/>
      <w:lvlJc w:val="left"/>
      <w:pPr>
        <w:tabs>
          <w:tab w:val="num" w:pos="2160"/>
        </w:tabs>
        <w:ind w:left="2160" w:hanging="360"/>
      </w:pPr>
    </w:lvl>
    <w:lvl w:ilvl="3" w:tplc="B55ADBEA" w:tentative="1">
      <w:start w:val="1"/>
      <w:numFmt w:val="decimal"/>
      <w:lvlText w:val="%4."/>
      <w:lvlJc w:val="left"/>
      <w:pPr>
        <w:tabs>
          <w:tab w:val="num" w:pos="2880"/>
        </w:tabs>
        <w:ind w:left="2880" w:hanging="360"/>
      </w:pPr>
    </w:lvl>
    <w:lvl w:ilvl="4" w:tplc="48ECFA64" w:tentative="1">
      <w:start w:val="1"/>
      <w:numFmt w:val="decimal"/>
      <w:lvlText w:val="%5."/>
      <w:lvlJc w:val="left"/>
      <w:pPr>
        <w:tabs>
          <w:tab w:val="num" w:pos="3600"/>
        </w:tabs>
        <w:ind w:left="3600" w:hanging="360"/>
      </w:pPr>
    </w:lvl>
    <w:lvl w:ilvl="5" w:tplc="62B08BF0" w:tentative="1">
      <w:start w:val="1"/>
      <w:numFmt w:val="decimal"/>
      <w:lvlText w:val="%6."/>
      <w:lvlJc w:val="left"/>
      <w:pPr>
        <w:tabs>
          <w:tab w:val="num" w:pos="4320"/>
        </w:tabs>
        <w:ind w:left="4320" w:hanging="360"/>
      </w:pPr>
    </w:lvl>
    <w:lvl w:ilvl="6" w:tplc="E8A83ABC" w:tentative="1">
      <w:start w:val="1"/>
      <w:numFmt w:val="decimal"/>
      <w:lvlText w:val="%7."/>
      <w:lvlJc w:val="left"/>
      <w:pPr>
        <w:tabs>
          <w:tab w:val="num" w:pos="5040"/>
        </w:tabs>
        <w:ind w:left="5040" w:hanging="360"/>
      </w:pPr>
    </w:lvl>
    <w:lvl w:ilvl="7" w:tplc="AD4A7790" w:tentative="1">
      <w:start w:val="1"/>
      <w:numFmt w:val="decimal"/>
      <w:lvlText w:val="%8."/>
      <w:lvlJc w:val="left"/>
      <w:pPr>
        <w:tabs>
          <w:tab w:val="num" w:pos="5760"/>
        </w:tabs>
        <w:ind w:left="5760" w:hanging="360"/>
      </w:pPr>
    </w:lvl>
    <w:lvl w:ilvl="8" w:tplc="45123052" w:tentative="1">
      <w:start w:val="1"/>
      <w:numFmt w:val="decimal"/>
      <w:lvlText w:val="%9."/>
      <w:lvlJc w:val="left"/>
      <w:pPr>
        <w:tabs>
          <w:tab w:val="num" w:pos="6480"/>
        </w:tabs>
        <w:ind w:left="6480" w:hanging="360"/>
      </w:pPr>
    </w:lvl>
  </w:abstractNum>
  <w:num w:numId="1">
    <w:abstractNumId w:val="42"/>
  </w:num>
  <w:num w:numId="2">
    <w:abstractNumId w:val="19"/>
  </w:num>
  <w:num w:numId="3">
    <w:abstractNumId w:val="46"/>
  </w:num>
  <w:num w:numId="4">
    <w:abstractNumId w:val="29"/>
  </w:num>
  <w:num w:numId="5">
    <w:abstractNumId w:val="8"/>
  </w:num>
  <w:num w:numId="6">
    <w:abstractNumId w:val="2"/>
  </w:num>
  <w:num w:numId="7">
    <w:abstractNumId w:val="31"/>
  </w:num>
  <w:num w:numId="8">
    <w:abstractNumId w:val="0"/>
  </w:num>
  <w:num w:numId="9">
    <w:abstractNumId w:val="9"/>
  </w:num>
  <w:num w:numId="10">
    <w:abstractNumId w:val="30"/>
  </w:num>
  <w:num w:numId="11">
    <w:abstractNumId w:val="12"/>
  </w:num>
  <w:num w:numId="12">
    <w:abstractNumId w:val="34"/>
  </w:num>
  <w:num w:numId="13">
    <w:abstractNumId w:val="11"/>
  </w:num>
  <w:num w:numId="14">
    <w:abstractNumId w:val="4"/>
  </w:num>
  <w:num w:numId="15">
    <w:abstractNumId w:val="14"/>
  </w:num>
  <w:num w:numId="16">
    <w:abstractNumId w:val="6"/>
  </w:num>
  <w:num w:numId="17">
    <w:abstractNumId w:val="17"/>
  </w:num>
  <w:num w:numId="18">
    <w:abstractNumId w:val="33"/>
  </w:num>
  <w:num w:numId="19">
    <w:abstractNumId w:val="22"/>
  </w:num>
  <w:num w:numId="20">
    <w:abstractNumId w:val="25"/>
  </w:num>
  <w:num w:numId="21">
    <w:abstractNumId w:val="16"/>
  </w:num>
  <w:num w:numId="22">
    <w:abstractNumId w:val="37"/>
  </w:num>
  <w:num w:numId="23">
    <w:abstractNumId w:val="20"/>
  </w:num>
  <w:num w:numId="24">
    <w:abstractNumId w:val="41"/>
  </w:num>
  <w:num w:numId="25">
    <w:abstractNumId w:val="44"/>
  </w:num>
  <w:num w:numId="26">
    <w:abstractNumId w:val="45"/>
  </w:num>
  <w:num w:numId="27">
    <w:abstractNumId w:val="38"/>
  </w:num>
  <w:num w:numId="28">
    <w:abstractNumId w:val="35"/>
  </w:num>
  <w:num w:numId="29">
    <w:abstractNumId w:val="18"/>
  </w:num>
  <w:num w:numId="30">
    <w:abstractNumId w:val="36"/>
  </w:num>
  <w:num w:numId="31">
    <w:abstractNumId w:val="28"/>
  </w:num>
  <w:num w:numId="32">
    <w:abstractNumId w:val="3"/>
  </w:num>
  <w:num w:numId="33">
    <w:abstractNumId w:val="7"/>
  </w:num>
  <w:num w:numId="34">
    <w:abstractNumId w:val="39"/>
  </w:num>
  <w:num w:numId="35">
    <w:abstractNumId w:val="27"/>
  </w:num>
  <w:num w:numId="36">
    <w:abstractNumId w:val="24"/>
  </w:num>
  <w:num w:numId="37">
    <w:abstractNumId w:val="13"/>
  </w:num>
  <w:num w:numId="38">
    <w:abstractNumId w:val="21"/>
  </w:num>
  <w:num w:numId="39">
    <w:abstractNumId w:val="26"/>
  </w:num>
  <w:num w:numId="40">
    <w:abstractNumId w:val="10"/>
  </w:num>
  <w:num w:numId="41">
    <w:abstractNumId w:val="15"/>
  </w:num>
  <w:num w:numId="42">
    <w:abstractNumId w:val="1"/>
  </w:num>
  <w:num w:numId="43">
    <w:abstractNumId w:val="23"/>
  </w:num>
  <w:num w:numId="44">
    <w:abstractNumId w:val="43"/>
  </w:num>
  <w:num w:numId="45">
    <w:abstractNumId w:val="40"/>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2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D6E92"/>
    <w:rsid w:val="000006B0"/>
    <w:rsid w:val="000136DE"/>
    <w:rsid w:val="00021CBB"/>
    <w:rsid w:val="00025FF7"/>
    <w:rsid w:val="00043E43"/>
    <w:rsid w:val="000510D6"/>
    <w:rsid w:val="0005327E"/>
    <w:rsid w:val="0005679C"/>
    <w:rsid w:val="00063444"/>
    <w:rsid w:val="00064EED"/>
    <w:rsid w:val="00075E6B"/>
    <w:rsid w:val="00081BFA"/>
    <w:rsid w:val="000900D6"/>
    <w:rsid w:val="000936C4"/>
    <w:rsid w:val="000A758E"/>
    <w:rsid w:val="000B5B24"/>
    <w:rsid w:val="000C0928"/>
    <w:rsid w:val="000C0FD6"/>
    <w:rsid w:val="000D1B8F"/>
    <w:rsid w:val="000D7093"/>
    <w:rsid w:val="000E3DE3"/>
    <w:rsid w:val="000F6150"/>
    <w:rsid w:val="0010043E"/>
    <w:rsid w:val="00100CE4"/>
    <w:rsid w:val="001057BC"/>
    <w:rsid w:val="001221A4"/>
    <w:rsid w:val="00124D57"/>
    <w:rsid w:val="00127A09"/>
    <w:rsid w:val="00147CC5"/>
    <w:rsid w:val="0015159D"/>
    <w:rsid w:val="00162BE3"/>
    <w:rsid w:val="0016784A"/>
    <w:rsid w:val="00175CB2"/>
    <w:rsid w:val="00190FA0"/>
    <w:rsid w:val="00191C62"/>
    <w:rsid w:val="00192216"/>
    <w:rsid w:val="00196017"/>
    <w:rsid w:val="001A4107"/>
    <w:rsid w:val="001A436B"/>
    <w:rsid w:val="001A5059"/>
    <w:rsid w:val="001A55DB"/>
    <w:rsid w:val="001C644E"/>
    <w:rsid w:val="001D22BB"/>
    <w:rsid w:val="001D3E60"/>
    <w:rsid w:val="00201C3C"/>
    <w:rsid w:val="00224F5C"/>
    <w:rsid w:val="00247B77"/>
    <w:rsid w:val="00251EDB"/>
    <w:rsid w:val="00285C9C"/>
    <w:rsid w:val="00294FB1"/>
    <w:rsid w:val="002A2B00"/>
    <w:rsid w:val="002A492C"/>
    <w:rsid w:val="002C12B9"/>
    <w:rsid w:val="002D64C2"/>
    <w:rsid w:val="002E1174"/>
    <w:rsid w:val="002F7601"/>
    <w:rsid w:val="00305109"/>
    <w:rsid w:val="00305436"/>
    <w:rsid w:val="00307C72"/>
    <w:rsid w:val="00324540"/>
    <w:rsid w:val="00332E69"/>
    <w:rsid w:val="00333073"/>
    <w:rsid w:val="003414A6"/>
    <w:rsid w:val="0034218C"/>
    <w:rsid w:val="00342E16"/>
    <w:rsid w:val="00347596"/>
    <w:rsid w:val="00347FF8"/>
    <w:rsid w:val="0035083F"/>
    <w:rsid w:val="00350CF8"/>
    <w:rsid w:val="003557DB"/>
    <w:rsid w:val="00362C05"/>
    <w:rsid w:val="0036529C"/>
    <w:rsid w:val="00370377"/>
    <w:rsid w:val="003759B3"/>
    <w:rsid w:val="003768FA"/>
    <w:rsid w:val="00381B8F"/>
    <w:rsid w:val="0038324F"/>
    <w:rsid w:val="00384593"/>
    <w:rsid w:val="003851B1"/>
    <w:rsid w:val="00385743"/>
    <w:rsid w:val="00395A29"/>
    <w:rsid w:val="003C7F60"/>
    <w:rsid w:val="003E47EA"/>
    <w:rsid w:val="003F7C7D"/>
    <w:rsid w:val="00403509"/>
    <w:rsid w:val="00410F4A"/>
    <w:rsid w:val="004214D7"/>
    <w:rsid w:val="00423236"/>
    <w:rsid w:val="00455AC1"/>
    <w:rsid w:val="004568F6"/>
    <w:rsid w:val="004618EA"/>
    <w:rsid w:val="00463015"/>
    <w:rsid w:val="00467799"/>
    <w:rsid w:val="0047169C"/>
    <w:rsid w:val="00475DE5"/>
    <w:rsid w:val="00481C47"/>
    <w:rsid w:val="00497D8B"/>
    <w:rsid w:val="004A2B94"/>
    <w:rsid w:val="004B60B5"/>
    <w:rsid w:val="004D0073"/>
    <w:rsid w:val="004E3015"/>
    <w:rsid w:val="004E46CB"/>
    <w:rsid w:val="00510C95"/>
    <w:rsid w:val="00533761"/>
    <w:rsid w:val="005350CE"/>
    <w:rsid w:val="00536502"/>
    <w:rsid w:val="00541BA2"/>
    <w:rsid w:val="00542C51"/>
    <w:rsid w:val="00561AFA"/>
    <w:rsid w:val="00564115"/>
    <w:rsid w:val="00567C30"/>
    <w:rsid w:val="00571497"/>
    <w:rsid w:val="005802E3"/>
    <w:rsid w:val="00586B88"/>
    <w:rsid w:val="00586CA9"/>
    <w:rsid w:val="005A27F3"/>
    <w:rsid w:val="005B34A4"/>
    <w:rsid w:val="005B39EF"/>
    <w:rsid w:val="005B5B0C"/>
    <w:rsid w:val="005C2386"/>
    <w:rsid w:val="005E132B"/>
    <w:rsid w:val="005E71C5"/>
    <w:rsid w:val="005E7864"/>
    <w:rsid w:val="005F6E0E"/>
    <w:rsid w:val="006019B2"/>
    <w:rsid w:val="0061006D"/>
    <w:rsid w:val="00645E4B"/>
    <w:rsid w:val="006461C9"/>
    <w:rsid w:val="00651C1C"/>
    <w:rsid w:val="00657AB0"/>
    <w:rsid w:val="00670D1F"/>
    <w:rsid w:val="00676BCD"/>
    <w:rsid w:val="006803E9"/>
    <w:rsid w:val="00685A7B"/>
    <w:rsid w:val="00686606"/>
    <w:rsid w:val="00686E23"/>
    <w:rsid w:val="00694253"/>
    <w:rsid w:val="006A7560"/>
    <w:rsid w:val="006C546F"/>
    <w:rsid w:val="006E2AAB"/>
    <w:rsid w:val="006F520A"/>
    <w:rsid w:val="00705F99"/>
    <w:rsid w:val="00706BEE"/>
    <w:rsid w:val="00710487"/>
    <w:rsid w:val="007220A3"/>
    <w:rsid w:val="00730D8C"/>
    <w:rsid w:val="007322BF"/>
    <w:rsid w:val="00750BE4"/>
    <w:rsid w:val="00762921"/>
    <w:rsid w:val="007640FE"/>
    <w:rsid w:val="00767316"/>
    <w:rsid w:val="007747AD"/>
    <w:rsid w:val="00780DEB"/>
    <w:rsid w:val="0078487C"/>
    <w:rsid w:val="007849BC"/>
    <w:rsid w:val="00785CFD"/>
    <w:rsid w:val="00786A57"/>
    <w:rsid w:val="00791F36"/>
    <w:rsid w:val="00794AA7"/>
    <w:rsid w:val="007B11D3"/>
    <w:rsid w:val="007B3455"/>
    <w:rsid w:val="007B4FAF"/>
    <w:rsid w:val="007B5222"/>
    <w:rsid w:val="007B61AB"/>
    <w:rsid w:val="007C4119"/>
    <w:rsid w:val="007C5B43"/>
    <w:rsid w:val="007C73CC"/>
    <w:rsid w:val="007E3DDD"/>
    <w:rsid w:val="007F29BD"/>
    <w:rsid w:val="00804B1B"/>
    <w:rsid w:val="008200D1"/>
    <w:rsid w:val="00823F23"/>
    <w:rsid w:val="00830D6D"/>
    <w:rsid w:val="00835A9B"/>
    <w:rsid w:val="0086660D"/>
    <w:rsid w:val="00876062"/>
    <w:rsid w:val="00876D21"/>
    <w:rsid w:val="00896836"/>
    <w:rsid w:val="008A5013"/>
    <w:rsid w:val="008A5590"/>
    <w:rsid w:val="008B49DF"/>
    <w:rsid w:val="008C0F49"/>
    <w:rsid w:val="008E629E"/>
    <w:rsid w:val="008E64E2"/>
    <w:rsid w:val="008F7F74"/>
    <w:rsid w:val="009014E1"/>
    <w:rsid w:val="00906048"/>
    <w:rsid w:val="009168D5"/>
    <w:rsid w:val="009305C5"/>
    <w:rsid w:val="00941CA1"/>
    <w:rsid w:val="00950EF9"/>
    <w:rsid w:val="00970AAC"/>
    <w:rsid w:val="009738A5"/>
    <w:rsid w:val="00994900"/>
    <w:rsid w:val="009A62E0"/>
    <w:rsid w:val="009C7301"/>
    <w:rsid w:val="009E684A"/>
    <w:rsid w:val="009E6A4C"/>
    <w:rsid w:val="009E6A90"/>
    <w:rsid w:val="009E76FC"/>
    <w:rsid w:val="009F397E"/>
    <w:rsid w:val="00A03B73"/>
    <w:rsid w:val="00A0516C"/>
    <w:rsid w:val="00A10B35"/>
    <w:rsid w:val="00A117DF"/>
    <w:rsid w:val="00A13208"/>
    <w:rsid w:val="00A14F19"/>
    <w:rsid w:val="00A32F8B"/>
    <w:rsid w:val="00A50C70"/>
    <w:rsid w:val="00A5215F"/>
    <w:rsid w:val="00A7458C"/>
    <w:rsid w:val="00A81E47"/>
    <w:rsid w:val="00AA40CA"/>
    <w:rsid w:val="00AB10D0"/>
    <w:rsid w:val="00AB69D1"/>
    <w:rsid w:val="00AC646E"/>
    <w:rsid w:val="00AD3C1C"/>
    <w:rsid w:val="00AD5BED"/>
    <w:rsid w:val="00AD5EE6"/>
    <w:rsid w:val="00AE28AA"/>
    <w:rsid w:val="00B076F1"/>
    <w:rsid w:val="00B1002A"/>
    <w:rsid w:val="00B127C2"/>
    <w:rsid w:val="00B13784"/>
    <w:rsid w:val="00B13AE4"/>
    <w:rsid w:val="00B1469E"/>
    <w:rsid w:val="00B17FDF"/>
    <w:rsid w:val="00B276DD"/>
    <w:rsid w:val="00B31168"/>
    <w:rsid w:val="00B31813"/>
    <w:rsid w:val="00B3420B"/>
    <w:rsid w:val="00B40FD6"/>
    <w:rsid w:val="00B62C06"/>
    <w:rsid w:val="00B740C7"/>
    <w:rsid w:val="00B8078B"/>
    <w:rsid w:val="00B915B9"/>
    <w:rsid w:val="00BA0841"/>
    <w:rsid w:val="00BB1E10"/>
    <w:rsid w:val="00BB6783"/>
    <w:rsid w:val="00BB799E"/>
    <w:rsid w:val="00BC2496"/>
    <w:rsid w:val="00BC789D"/>
    <w:rsid w:val="00BD33DF"/>
    <w:rsid w:val="00BD5A96"/>
    <w:rsid w:val="00BD6E92"/>
    <w:rsid w:val="00BE0A3F"/>
    <w:rsid w:val="00BE0E2C"/>
    <w:rsid w:val="00BF7DF2"/>
    <w:rsid w:val="00C01198"/>
    <w:rsid w:val="00C34589"/>
    <w:rsid w:val="00C4337F"/>
    <w:rsid w:val="00C53248"/>
    <w:rsid w:val="00C5780F"/>
    <w:rsid w:val="00C661B5"/>
    <w:rsid w:val="00C66A28"/>
    <w:rsid w:val="00C72D95"/>
    <w:rsid w:val="00C73AA7"/>
    <w:rsid w:val="00C73EA7"/>
    <w:rsid w:val="00C90026"/>
    <w:rsid w:val="00C90AA0"/>
    <w:rsid w:val="00C93BDC"/>
    <w:rsid w:val="00CA277C"/>
    <w:rsid w:val="00CA55B8"/>
    <w:rsid w:val="00CA6AAA"/>
    <w:rsid w:val="00CB0CA5"/>
    <w:rsid w:val="00CC745D"/>
    <w:rsid w:val="00CD41DA"/>
    <w:rsid w:val="00CD69A6"/>
    <w:rsid w:val="00CE5C15"/>
    <w:rsid w:val="00CF6836"/>
    <w:rsid w:val="00CF6E36"/>
    <w:rsid w:val="00D03F70"/>
    <w:rsid w:val="00D07383"/>
    <w:rsid w:val="00D21F31"/>
    <w:rsid w:val="00D33384"/>
    <w:rsid w:val="00D33F28"/>
    <w:rsid w:val="00D40730"/>
    <w:rsid w:val="00D412E1"/>
    <w:rsid w:val="00D51E29"/>
    <w:rsid w:val="00D53DAD"/>
    <w:rsid w:val="00D55ABA"/>
    <w:rsid w:val="00D6235B"/>
    <w:rsid w:val="00D62366"/>
    <w:rsid w:val="00D64332"/>
    <w:rsid w:val="00D7305C"/>
    <w:rsid w:val="00D80134"/>
    <w:rsid w:val="00D828F6"/>
    <w:rsid w:val="00D93047"/>
    <w:rsid w:val="00D95DDB"/>
    <w:rsid w:val="00DA5C3B"/>
    <w:rsid w:val="00DD7C45"/>
    <w:rsid w:val="00DE2BAB"/>
    <w:rsid w:val="00DF1343"/>
    <w:rsid w:val="00DF603F"/>
    <w:rsid w:val="00E106F7"/>
    <w:rsid w:val="00E159A1"/>
    <w:rsid w:val="00E24B99"/>
    <w:rsid w:val="00E24E67"/>
    <w:rsid w:val="00E36AAD"/>
    <w:rsid w:val="00E415D7"/>
    <w:rsid w:val="00E42855"/>
    <w:rsid w:val="00E44AE0"/>
    <w:rsid w:val="00E473D6"/>
    <w:rsid w:val="00E54A41"/>
    <w:rsid w:val="00E81509"/>
    <w:rsid w:val="00E8693E"/>
    <w:rsid w:val="00E93171"/>
    <w:rsid w:val="00E963F8"/>
    <w:rsid w:val="00EB1B5A"/>
    <w:rsid w:val="00EB7B41"/>
    <w:rsid w:val="00EC1966"/>
    <w:rsid w:val="00EC3907"/>
    <w:rsid w:val="00EC6556"/>
    <w:rsid w:val="00ED0C67"/>
    <w:rsid w:val="00EF22CF"/>
    <w:rsid w:val="00EF41DB"/>
    <w:rsid w:val="00F005B6"/>
    <w:rsid w:val="00F022AF"/>
    <w:rsid w:val="00F26C8B"/>
    <w:rsid w:val="00F36744"/>
    <w:rsid w:val="00F37FF6"/>
    <w:rsid w:val="00F50698"/>
    <w:rsid w:val="00F51296"/>
    <w:rsid w:val="00F5231E"/>
    <w:rsid w:val="00F609E2"/>
    <w:rsid w:val="00F62929"/>
    <w:rsid w:val="00F70921"/>
    <w:rsid w:val="00F75F8B"/>
    <w:rsid w:val="00F929B2"/>
    <w:rsid w:val="00FA2369"/>
    <w:rsid w:val="00FA3C1D"/>
    <w:rsid w:val="00FA516C"/>
    <w:rsid w:val="00FA5B6B"/>
    <w:rsid w:val="00FB21A1"/>
    <w:rsid w:val="00FB24CC"/>
    <w:rsid w:val="00FB67B2"/>
    <w:rsid w:val="00FD5451"/>
    <w:rsid w:val="00FD7122"/>
    <w:rsid w:val="00FE0CAA"/>
    <w:rsid w:val="00FE179D"/>
    <w:rsid w:val="00FF2D80"/>
    <w:rsid w:val="00FF5584"/>
    <w:rsid w:val="155AE7A0"/>
    <w:rsid w:val="28009EBE"/>
    <w:rsid w:val="376EB51A"/>
    <w:rsid w:val="76DBAB43"/>
    <w:rsid w:val="78777BA4"/>
    <w:rsid w:val="7D4AECC7"/>
    <w:rsid w:val="7EE6BD2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8D7F1"/>
  <w15:chartTrackingRefBased/>
  <w15:docId w15:val="{3E38C836-C0D6-48C7-AB74-85321B7E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Mangal" w:cs="Mangal"/>
      <w:sz w:val="24"/>
      <w:szCs w:val="24"/>
    </w:r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center" w:pos="-1134"/>
        <w:tab w:val="center" w:pos="4819"/>
      </w:tabs>
      <w:spacing w:line="360" w:lineRule="auto"/>
      <w:ind w:left="4819" w:hanging="4819"/>
      <w:jc w:val="both"/>
    </w:pPr>
    <w:rPr>
      <w:noProof/>
      <w:sz w:val="20"/>
      <w:szCs w:val="20"/>
      <w:lang w:val="de-DE"/>
    </w:rPr>
  </w:style>
  <w:style w:type="paragraph" w:styleId="Sprechblasentext">
    <w:name w:val="Balloon Text"/>
    <w:basedOn w:val="Standard"/>
    <w:link w:val="SprechblasentextZchn"/>
    <w:uiPriority w:val="99"/>
    <w:semiHidden/>
    <w:rsid w:val="006C546F"/>
    <w:rPr>
      <w:rFonts w:ascii="Tahoma" w:hAnsi="Tahoma" w:cs="Tahoma"/>
      <w:sz w:val="16"/>
      <w:szCs w:val="16"/>
    </w:rPr>
  </w:style>
  <w:style w:type="character" w:customStyle="1" w:styleId="KopfzeileZchn">
    <w:name w:val="Kopfzeile Zchn"/>
    <w:link w:val="Kopfzeile"/>
    <w:uiPriority w:val="99"/>
    <w:rsid w:val="009C7301"/>
    <w:rPr>
      <w:sz w:val="24"/>
      <w:szCs w:val="24"/>
      <w:lang w:val="en-US"/>
    </w:rPr>
  </w:style>
  <w:style w:type="character" w:styleId="Kommentarzeichen">
    <w:name w:val="annotation reference"/>
    <w:uiPriority w:val="99"/>
    <w:semiHidden/>
    <w:unhideWhenUsed/>
    <w:rsid w:val="00970AAC"/>
    <w:rPr>
      <w:sz w:val="16"/>
      <w:szCs w:val="16"/>
    </w:rPr>
  </w:style>
  <w:style w:type="paragraph" w:styleId="Kommentartext">
    <w:name w:val="annotation text"/>
    <w:basedOn w:val="Standard"/>
    <w:link w:val="KommentartextZchn"/>
    <w:uiPriority w:val="99"/>
    <w:semiHidden/>
    <w:unhideWhenUsed/>
    <w:rsid w:val="00970AAC"/>
    <w:rPr>
      <w:sz w:val="20"/>
      <w:szCs w:val="20"/>
    </w:rPr>
  </w:style>
  <w:style w:type="character" w:customStyle="1" w:styleId="KommentartextZchn">
    <w:name w:val="Kommentartext Zchn"/>
    <w:link w:val="Kommentartext"/>
    <w:uiPriority w:val="99"/>
    <w:semiHidden/>
    <w:rsid w:val="00970AAC"/>
    <w:rPr>
      <w:lang w:val="en-US"/>
    </w:rPr>
  </w:style>
  <w:style w:type="paragraph" w:styleId="Kommentarthema">
    <w:name w:val="annotation subject"/>
    <w:basedOn w:val="Kommentartext"/>
    <w:next w:val="Kommentartext"/>
    <w:link w:val="KommentarthemaZchn"/>
    <w:uiPriority w:val="99"/>
    <w:semiHidden/>
    <w:unhideWhenUsed/>
    <w:rsid w:val="00970AAC"/>
    <w:rPr>
      <w:b/>
      <w:bCs/>
    </w:rPr>
  </w:style>
  <w:style w:type="character" w:customStyle="1" w:styleId="KommentarthemaZchn">
    <w:name w:val="Kommentarthema Zchn"/>
    <w:link w:val="Kommentarthema"/>
    <w:uiPriority w:val="99"/>
    <w:semiHidden/>
    <w:rsid w:val="00970AAC"/>
    <w:rPr>
      <w:b/>
      <w:bCs/>
      <w:lang w:val="en-US"/>
    </w:rPr>
  </w:style>
  <w:style w:type="character" w:customStyle="1" w:styleId="FuzeileZchn">
    <w:name w:val="Fußzeile Zchn"/>
    <w:link w:val="Fuzeile"/>
    <w:uiPriority w:val="99"/>
    <w:rsid w:val="0038324F"/>
    <w:rPr>
      <w:sz w:val="24"/>
      <w:szCs w:val="24"/>
      <w:lang w:val="en-US"/>
    </w:rPr>
  </w:style>
  <w:style w:type="character" w:customStyle="1" w:styleId="inhdok">
    <w:name w:val="inhdok"/>
    <w:rsid w:val="00785CFD"/>
  </w:style>
  <w:style w:type="character" w:customStyle="1" w:styleId="titel">
    <w:name w:val="titel"/>
    <w:rsid w:val="00FF5584"/>
  </w:style>
  <w:style w:type="paragraph" w:styleId="Funotentext">
    <w:name w:val="footnote text"/>
    <w:basedOn w:val="Standard"/>
    <w:link w:val="FunotentextZchn"/>
    <w:uiPriority w:val="99"/>
    <w:semiHidden/>
    <w:unhideWhenUsed/>
    <w:rsid w:val="00B40FD6"/>
    <w:rPr>
      <w:sz w:val="20"/>
      <w:szCs w:val="20"/>
    </w:rPr>
  </w:style>
  <w:style w:type="character" w:customStyle="1" w:styleId="FunotentextZchn">
    <w:name w:val="Fußnotentext Zchn"/>
    <w:link w:val="Funotentext"/>
    <w:uiPriority w:val="99"/>
    <w:semiHidden/>
    <w:rsid w:val="00B40FD6"/>
    <w:rPr>
      <w:lang w:val="en-US"/>
    </w:rPr>
  </w:style>
  <w:style w:type="paragraph" w:customStyle="1" w:styleId="1Fliesstext">
    <w:name w:val="1. Fliesstext"/>
    <w:basedOn w:val="Standard"/>
    <w:qFormat/>
    <w:rsid w:val="00C90AA0"/>
    <w:pPr>
      <w:widowControl/>
      <w:spacing w:before="120" w:after="120"/>
      <w:jc w:val="both"/>
    </w:pPr>
    <w:rPr>
      <w:rFonts w:ascii="Meta Offc Pro" w:hAnsi="Meta Offc Pro"/>
      <w:sz w:val="20"/>
      <w:szCs w:val="20"/>
      <w:lang w:val="de-DE"/>
    </w:rPr>
  </w:style>
  <w:style w:type="character" w:styleId="Hervorhebung">
    <w:name w:val="Emphasis"/>
    <w:qFormat/>
    <w:rsid w:val="00A81E47"/>
    <w:rPr>
      <w:i/>
      <w:iCs/>
    </w:rPr>
  </w:style>
  <w:style w:type="character" w:customStyle="1" w:styleId="SprechblasentextZchn">
    <w:name w:val="Sprechblasentext Zchn"/>
    <w:link w:val="Sprechblasentext"/>
    <w:uiPriority w:val="99"/>
    <w:semiHidden/>
    <w:rsid w:val="00A81E47"/>
    <w:rPr>
      <w:rFonts w:ascii="Tahoma" w:hAnsi="Tahoma" w:cs="Tahoma"/>
      <w:sz w:val="16"/>
      <w:szCs w:val="16"/>
      <w:lang w:val="en-US"/>
    </w:rPr>
  </w:style>
  <w:style w:type="paragraph" w:styleId="berarbeitung">
    <w:name w:val="Revision"/>
    <w:hidden/>
    <w:uiPriority w:val="99"/>
    <w:semiHidden/>
    <w:rsid w:val="00A81E47"/>
    <w:rPr>
      <w:sz w:val="24"/>
      <w:szCs w:val="24"/>
      <w:lang w:eastAsia="de-DE"/>
    </w:rPr>
  </w:style>
  <w:style w:type="character" w:styleId="Hyperlink">
    <w:name w:val="Hyperlink"/>
    <w:uiPriority w:val="99"/>
    <w:semiHidden/>
    <w:unhideWhenUsed/>
    <w:rsid w:val="00A81E47"/>
    <w:rPr>
      <w:color w:val="0000FF"/>
      <w:u w:val="single"/>
    </w:rPr>
  </w:style>
  <w:style w:type="paragraph" w:styleId="Listenabsatz">
    <w:name w:val="List Paragraph"/>
    <w:basedOn w:val="Standard"/>
    <w:uiPriority w:val="34"/>
    <w:qFormat/>
    <w:rsid w:val="00A81E47"/>
    <w:pPr>
      <w:widowControl/>
      <w:autoSpaceDE/>
      <w:autoSpaceDN/>
      <w:adjustRightInd/>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6844">
      <w:bodyDiv w:val="1"/>
      <w:marLeft w:val="0"/>
      <w:marRight w:val="0"/>
      <w:marTop w:val="0"/>
      <w:marBottom w:val="0"/>
      <w:divBdr>
        <w:top w:val="none" w:sz="0" w:space="0" w:color="auto"/>
        <w:left w:val="none" w:sz="0" w:space="0" w:color="auto"/>
        <w:bottom w:val="none" w:sz="0" w:space="0" w:color="auto"/>
        <w:right w:val="none" w:sz="0" w:space="0" w:color="auto"/>
      </w:divBdr>
    </w:div>
    <w:div w:id="628364899">
      <w:bodyDiv w:val="1"/>
      <w:marLeft w:val="0"/>
      <w:marRight w:val="0"/>
      <w:marTop w:val="0"/>
      <w:marBottom w:val="0"/>
      <w:divBdr>
        <w:top w:val="none" w:sz="0" w:space="0" w:color="auto"/>
        <w:left w:val="none" w:sz="0" w:space="0" w:color="auto"/>
        <w:bottom w:val="none" w:sz="0" w:space="0" w:color="auto"/>
        <w:right w:val="none" w:sz="0" w:space="0" w:color="auto"/>
      </w:divBdr>
      <w:divsChild>
        <w:div w:id="243733685">
          <w:marLeft w:val="835"/>
          <w:marRight w:val="0"/>
          <w:marTop w:val="115"/>
          <w:marBottom w:val="0"/>
          <w:divBdr>
            <w:top w:val="none" w:sz="0" w:space="0" w:color="auto"/>
            <w:left w:val="none" w:sz="0" w:space="0" w:color="auto"/>
            <w:bottom w:val="none" w:sz="0" w:space="0" w:color="auto"/>
            <w:right w:val="none" w:sz="0" w:space="0" w:color="auto"/>
          </w:divBdr>
        </w:div>
        <w:div w:id="882449427">
          <w:marLeft w:val="835"/>
          <w:marRight w:val="0"/>
          <w:marTop w:val="115"/>
          <w:marBottom w:val="0"/>
          <w:divBdr>
            <w:top w:val="none" w:sz="0" w:space="0" w:color="auto"/>
            <w:left w:val="none" w:sz="0" w:space="0" w:color="auto"/>
            <w:bottom w:val="none" w:sz="0" w:space="0" w:color="auto"/>
            <w:right w:val="none" w:sz="0" w:space="0" w:color="auto"/>
          </w:divBdr>
        </w:div>
        <w:div w:id="889802856">
          <w:marLeft w:val="835"/>
          <w:marRight w:val="0"/>
          <w:marTop w:val="115"/>
          <w:marBottom w:val="0"/>
          <w:divBdr>
            <w:top w:val="none" w:sz="0" w:space="0" w:color="auto"/>
            <w:left w:val="none" w:sz="0" w:space="0" w:color="auto"/>
            <w:bottom w:val="none" w:sz="0" w:space="0" w:color="auto"/>
            <w:right w:val="none" w:sz="0" w:space="0" w:color="auto"/>
          </w:divBdr>
        </w:div>
        <w:div w:id="1773933360">
          <w:marLeft w:val="835"/>
          <w:marRight w:val="0"/>
          <w:marTop w:val="115"/>
          <w:marBottom w:val="0"/>
          <w:divBdr>
            <w:top w:val="none" w:sz="0" w:space="0" w:color="auto"/>
            <w:left w:val="none" w:sz="0" w:space="0" w:color="auto"/>
            <w:bottom w:val="none" w:sz="0" w:space="0" w:color="auto"/>
            <w:right w:val="none" w:sz="0" w:space="0" w:color="auto"/>
          </w:divBdr>
        </w:div>
        <w:div w:id="2090231126">
          <w:marLeft w:val="835"/>
          <w:marRight w:val="0"/>
          <w:marTop w:val="115"/>
          <w:marBottom w:val="0"/>
          <w:divBdr>
            <w:top w:val="none" w:sz="0" w:space="0" w:color="auto"/>
            <w:left w:val="none" w:sz="0" w:space="0" w:color="auto"/>
            <w:bottom w:val="none" w:sz="0" w:space="0" w:color="auto"/>
            <w:right w:val="none" w:sz="0" w:space="0" w:color="auto"/>
          </w:divBdr>
        </w:div>
      </w:divsChild>
    </w:div>
    <w:div w:id="988286111">
      <w:bodyDiv w:val="1"/>
      <w:marLeft w:val="0"/>
      <w:marRight w:val="0"/>
      <w:marTop w:val="0"/>
      <w:marBottom w:val="0"/>
      <w:divBdr>
        <w:top w:val="none" w:sz="0" w:space="0" w:color="auto"/>
        <w:left w:val="none" w:sz="0" w:space="0" w:color="auto"/>
        <w:bottom w:val="none" w:sz="0" w:space="0" w:color="auto"/>
        <w:right w:val="none" w:sz="0" w:space="0" w:color="auto"/>
      </w:divBdr>
      <w:divsChild>
        <w:div w:id="177282649">
          <w:marLeft w:val="835"/>
          <w:marRight w:val="0"/>
          <w:marTop w:val="134"/>
          <w:marBottom w:val="0"/>
          <w:divBdr>
            <w:top w:val="none" w:sz="0" w:space="0" w:color="auto"/>
            <w:left w:val="none" w:sz="0" w:space="0" w:color="auto"/>
            <w:bottom w:val="none" w:sz="0" w:space="0" w:color="auto"/>
            <w:right w:val="none" w:sz="0" w:space="0" w:color="auto"/>
          </w:divBdr>
        </w:div>
        <w:div w:id="229776240">
          <w:marLeft w:val="835"/>
          <w:marRight w:val="0"/>
          <w:marTop w:val="134"/>
          <w:marBottom w:val="0"/>
          <w:divBdr>
            <w:top w:val="none" w:sz="0" w:space="0" w:color="auto"/>
            <w:left w:val="none" w:sz="0" w:space="0" w:color="auto"/>
            <w:bottom w:val="none" w:sz="0" w:space="0" w:color="auto"/>
            <w:right w:val="none" w:sz="0" w:space="0" w:color="auto"/>
          </w:divBdr>
        </w:div>
        <w:div w:id="294796559">
          <w:marLeft w:val="835"/>
          <w:marRight w:val="0"/>
          <w:marTop w:val="134"/>
          <w:marBottom w:val="0"/>
          <w:divBdr>
            <w:top w:val="none" w:sz="0" w:space="0" w:color="auto"/>
            <w:left w:val="none" w:sz="0" w:space="0" w:color="auto"/>
            <w:bottom w:val="none" w:sz="0" w:space="0" w:color="auto"/>
            <w:right w:val="none" w:sz="0" w:space="0" w:color="auto"/>
          </w:divBdr>
        </w:div>
        <w:div w:id="838696085">
          <w:marLeft w:val="835"/>
          <w:marRight w:val="0"/>
          <w:marTop w:val="134"/>
          <w:marBottom w:val="0"/>
          <w:divBdr>
            <w:top w:val="none" w:sz="0" w:space="0" w:color="auto"/>
            <w:left w:val="none" w:sz="0" w:space="0" w:color="auto"/>
            <w:bottom w:val="none" w:sz="0" w:space="0" w:color="auto"/>
            <w:right w:val="none" w:sz="0" w:space="0" w:color="auto"/>
          </w:divBdr>
        </w:div>
        <w:div w:id="1120686062">
          <w:marLeft w:val="835"/>
          <w:marRight w:val="0"/>
          <w:marTop w:val="134"/>
          <w:marBottom w:val="0"/>
          <w:divBdr>
            <w:top w:val="none" w:sz="0" w:space="0" w:color="auto"/>
            <w:left w:val="none" w:sz="0" w:space="0" w:color="auto"/>
            <w:bottom w:val="none" w:sz="0" w:space="0" w:color="auto"/>
            <w:right w:val="none" w:sz="0" w:space="0" w:color="auto"/>
          </w:divBdr>
        </w:div>
        <w:div w:id="1578439329">
          <w:marLeft w:val="835"/>
          <w:marRight w:val="0"/>
          <w:marTop w:val="134"/>
          <w:marBottom w:val="0"/>
          <w:divBdr>
            <w:top w:val="none" w:sz="0" w:space="0" w:color="auto"/>
            <w:left w:val="none" w:sz="0" w:space="0" w:color="auto"/>
            <w:bottom w:val="none" w:sz="0" w:space="0" w:color="auto"/>
            <w:right w:val="none" w:sz="0" w:space="0" w:color="auto"/>
          </w:divBdr>
        </w:div>
      </w:divsChild>
    </w:div>
    <w:div w:id="1356229198">
      <w:bodyDiv w:val="1"/>
      <w:marLeft w:val="240"/>
      <w:marRight w:val="240"/>
      <w:marTop w:val="0"/>
      <w:marBottom w:val="0"/>
      <w:divBdr>
        <w:top w:val="none" w:sz="0" w:space="0" w:color="auto"/>
        <w:left w:val="none" w:sz="0" w:space="0" w:color="auto"/>
        <w:bottom w:val="none" w:sz="0" w:space="0" w:color="auto"/>
        <w:right w:val="none" w:sz="0" w:space="0" w:color="auto"/>
      </w:divBdr>
      <w:divsChild>
        <w:div w:id="1987971185">
          <w:marLeft w:val="0"/>
          <w:marRight w:val="0"/>
          <w:marTop w:val="0"/>
          <w:marBottom w:val="0"/>
          <w:divBdr>
            <w:top w:val="none" w:sz="0" w:space="0" w:color="auto"/>
            <w:left w:val="none" w:sz="0" w:space="0" w:color="auto"/>
            <w:bottom w:val="none" w:sz="0" w:space="0" w:color="auto"/>
            <w:right w:val="none" w:sz="0" w:space="0" w:color="auto"/>
          </w:divBdr>
        </w:div>
      </w:divsChild>
    </w:div>
    <w:div w:id="2073889198">
      <w:bodyDiv w:val="1"/>
      <w:marLeft w:val="0"/>
      <w:marRight w:val="0"/>
      <w:marTop w:val="0"/>
      <w:marBottom w:val="0"/>
      <w:divBdr>
        <w:top w:val="none" w:sz="0" w:space="0" w:color="auto"/>
        <w:left w:val="none" w:sz="0" w:space="0" w:color="auto"/>
        <w:bottom w:val="none" w:sz="0" w:space="0" w:color="auto"/>
        <w:right w:val="none" w:sz="0" w:space="0" w:color="auto"/>
      </w:divBdr>
      <w:divsChild>
        <w:div w:id="169222949">
          <w:marLeft w:val="835"/>
          <w:marRight w:val="0"/>
          <w:marTop w:val="134"/>
          <w:marBottom w:val="0"/>
          <w:divBdr>
            <w:top w:val="none" w:sz="0" w:space="0" w:color="auto"/>
            <w:left w:val="none" w:sz="0" w:space="0" w:color="auto"/>
            <w:bottom w:val="none" w:sz="0" w:space="0" w:color="auto"/>
            <w:right w:val="none" w:sz="0" w:space="0" w:color="auto"/>
          </w:divBdr>
        </w:div>
        <w:div w:id="1311401190">
          <w:marLeft w:val="835"/>
          <w:marRight w:val="0"/>
          <w:marTop w:val="134"/>
          <w:marBottom w:val="0"/>
          <w:divBdr>
            <w:top w:val="none" w:sz="0" w:space="0" w:color="auto"/>
            <w:left w:val="none" w:sz="0" w:space="0" w:color="auto"/>
            <w:bottom w:val="none" w:sz="0" w:space="0" w:color="auto"/>
            <w:right w:val="none" w:sz="0" w:space="0" w:color="auto"/>
          </w:divBdr>
        </w:div>
        <w:div w:id="1528326915">
          <w:marLeft w:val="835"/>
          <w:marRight w:val="0"/>
          <w:marTop w:val="134"/>
          <w:marBottom w:val="0"/>
          <w:divBdr>
            <w:top w:val="none" w:sz="0" w:space="0" w:color="auto"/>
            <w:left w:val="none" w:sz="0" w:space="0" w:color="auto"/>
            <w:bottom w:val="none" w:sz="0" w:space="0" w:color="auto"/>
            <w:right w:val="none" w:sz="0" w:space="0" w:color="auto"/>
          </w:divBdr>
        </w:div>
        <w:div w:id="1675493608">
          <w:marLeft w:val="835"/>
          <w:marRight w:val="0"/>
          <w:marTop w:val="134"/>
          <w:marBottom w:val="0"/>
          <w:divBdr>
            <w:top w:val="none" w:sz="0" w:space="0" w:color="auto"/>
            <w:left w:val="none" w:sz="0" w:space="0" w:color="auto"/>
            <w:bottom w:val="none" w:sz="0" w:space="0" w:color="auto"/>
            <w:right w:val="none" w:sz="0" w:space="0" w:color="auto"/>
          </w:divBdr>
        </w:div>
        <w:div w:id="1996566924">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0505-FCDA-4B92-AA30-69979630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2329</Words>
  <Characters>13212</Characters>
  <Application>Microsoft Office Word</Application>
  <DocSecurity>0</DocSecurity>
  <Lines>110</Lines>
  <Paragraphs>31</Paragraphs>
  <ScaleCrop>false</ScaleCrop>
  <Company>WWU / FB03</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alexr</dc:creator>
  <cp:keywords/>
  <cp:lastModifiedBy>Ansorge, Tabea</cp:lastModifiedBy>
  <cp:revision>5</cp:revision>
  <cp:lastPrinted>2014-06-24T20:06:00Z</cp:lastPrinted>
  <dcterms:created xsi:type="dcterms:W3CDTF">2022-04-27T16:34:00Z</dcterms:created>
  <dcterms:modified xsi:type="dcterms:W3CDTF">2022-04-29T09:18:00Z</dcterms:modified>
</cp:coreProperties>
</file>