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E" w:rsidRPr="00D8411E" w:rsidRDefault="009B69AB" w:rsidP="00D8411E">
      <w:pPr>
        <w:tabs>
          <w:tab w:val="center" w:pos="-1134"/>
          <w:tab w:val="left" w:pos="1983"/>
          <w:tab w:val="center" w:pos="4819"/>
        </w:tabs>
        <w:jc w:val="center"/>
        <w:rPr>
          <w:b/>
          <w:bCs/>
          <w:noProof/>
          <w:sz w:val="22"/>
          <w:szCs w:val="22"/>
          <w:lang w:val="de-DE"/>
        </w:rPr>
      </w:pPr>
      <w:r w:rsidRPr="00D8411E">
        <w:rPr>
          <w:b/>
          <w:bCs/>
          <w:noProof/>
          <w:sz w:val="22"/>
          <w:szCs w:val="22"/>
          <w:lang w:val="de-DE"/>
        </w:rPr>
        <w:t>Vorlesung Sachenrecht</w:t>
      </w:r>
    </w:p>
    <w:p w:rsidR="009B69AB" w:rsidRPr="00D8411E" w:rsidRDefault="00AE0785" w:rsidP="00D8411E">
      <w:pPr>
        <w:tabs>
          <w:tab w:val="center" w:pos="-1134"/>
          <w:tab w:val="left" w:pos="1983"/>
          <w:tab w:val="center" w:pos="4819"/>
        </w:tabs>
        <w:jc w:val="center"/>
        <w:rPr>
          <w:b/>
          <w:bCs/>
          <w:noProof/>
          <w:sz w:val="22"/>
          <w:szCs w:val="22"/>
          <w:lang w:val="de-DE"/>
        </w:rPr>
      </w:pPr>
      <w:r>
        <w:rPr>
          <w:b/>
          <w:bCs/>
          <w:noProof/>
          <w:sz w:val="22"/>
          <w:szCs w:val="22"/>
          <w:lang w:val="de-DE"/>
        </w:rPr>
        <w:t>Wintersemester 20</w:t>
      </w:r>
      <w:r w:rsidR="00BB34A2">
        <w:rPr>
          <w:b/>
          <w:bCs/>
          <w:noProof/>
          <w:sz w:val="22"/>
          <w:szCs w:val="22"/>
          <w:lang w:val="de-DE"/>
        </w:rPr>
        <w:t>21</w:t>
      </w:r>
      <w:r>
        <w:rPr>
          <w:b/>
          <w:bCs/>
          <w:noProof/>
          <w:sz w:val="22"/>
          <w:szCs w:val="22"/>
          <w:lang w:val="de-DE"/>
        </w:rPr>
        <w:t>/202</w:t>
      </w:r>
      <w:r w:rsidR="00BB34A2">
        <w:rPr>
          <w:b/>
          <w:bCs/>
          <w:noProof/>
          <w:sz w:val="22"/>
          <w:szCs w:val="22"/>
          <w:lang w:val="de-DE"/>
        </w:rPr>
        <w:t>2</w:t>
      </w:r>
      <w:bookmarkStart w:id="0" w:name="_GoBack"/>
      <w:bookmarkEnd w:id="0"/>
      <w:r>
        <w:rPr>
          <w:b/>
          <w:bCs/>
          <w:noProof/>
          <w:sz w:val="22"/>
          <w:szCs w:val="22"/>
          <w:lang w:val="de-DE"/>
        </w:rPr>
        <w:t xml:space="preserve"> </w:t>
      </w:r>
    </w:p>
    <w:p w:rsidR="00164451" w:rsidRDefault="00164451" w:rsidP="009B69AB">
      <w:pPr>
        <w:tabs>
          <w:tab w:val="center" w:pos="4819"/>
        </w:tabs>
        <w:ind w:firstLine="1983"/>
        <w:jc w:val="both"/>
        <w:rPr>
          <w:noProof/>
          <w:sz w:val="22"/>
          <w:szCs w:val="22"/>
          <w:u w:val="single"/>
          <w:lang w:val="de-DE"/>
        </w:rPr>
      </w:pPr>
    </w:p>
    <w:p w:rsidR="00D8411E" w:rsidRPr="00D8411E" w:rsidRDefault="00D8411E" w:rsidP="009B69AB">
      <w:pPr>
        <w:tabs>
          <w:tab w:val="center" w:pos="4819"/>
        </w:tabs>
        <w:ind w:firstLine="1983"/>
        <w:jc w:val="both"/>
        <w:rPr>
          <w:noProof/>
          <w:sz w:val="22"/>
          <w:szCs w:val="22"/>
          <w:u w:val="single"/>
          <w:lang w:val="de-DE"/>
        </w:rPr>
      </w:pPr>
    </w:p>
    <w:p w:rsidR="009B69AB" w:rsidRPr="00D8411E" w:rsidRDefault="009B69AB" w:rsidP="009B69AB">
      <w:pPr>
        <w:tabs>
          <w:tab w:val="left" w:pos="0"/>
          <w:tab w:val="left" w:pos="1983"/>
          <w:tab w:val="center" w:pos="4818"/>
        </w:tabs>
        <w:jc w:val="both"/>
        <w:rPr>
          <w:b/>
          <w:bCs/>
          <w:sz w:val="22"/>
          <w:szCs w:val="22"/>
          <w:lang w:val="de-DE"/>
        </w:rPr>
      </w:pPr>
      <w:r w:rsidRPr="00D8411E">
        <w:rPr>
          <w:b/>
          <w:bCs/>
          <w:sz w:val="22"/>
          <w:szCs w:val="22"/>
          <w:u w:val="single"/>
          <w:lang w:val="de-DE"/>
        </w:rPr>
        <w:t>Arbeitspapier Nr. 1</w:t>
      </w:r>
      <w:r w:rsidRPr="00D8411E">
        <w:rPr>
          <w:b/>
          <w:bCs/>
          <w:sz w:val="22"/>
          <w:szCs w:val="22"/>
          <w:lang w:val="de-DE"/>
        </w:rPr>
        <w:t>:</w:t>
      </w:r>
      <w:r w:rsidR="00D8411E" w:rsidRPr="00D8411E">
        <w:rPr>
          <w:sz w:val="22"/>
          <w:szCs w:val="22"/>
          <w:lang w:val="de-DE"/>
        </w:rPr>
        <w:t xml:space="preserve"> </w:t>
      </w:r>
      <w:r w:rsidRPr="00D8411E">
        <w:rPr>
          <w:b/>
          <w:bCs/>
          <w:sz w:val="22"/>
          <w:szCs w:val="22"/>
          <w:lang w:val="de-DE"/>
        </w:rPr>
        <w:t>Gliederung und Literatur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it-IT"/>
        </w:rPr>
      </w:pP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  <w:u w:val="single"/>
          <w:lang w:val="de-DE"/>
        </w:rPr>
      </w:pPr>
      <w:r w:rsidRPr="00D8411E">
        <w:rPr>
          <w:b/>
          <w:noProof/>
          <w:sz w:val="22"/>
          <w:szCs w:val="22"/>
          <w:u w:val="single"/>
          <w:lang w:val="de-DE"/>
        </w:rPr>
        <w:t xml:space="preserve">I. </w:t>
      </w:r>
      <w:r w:rsidRPr="00D8411E">
        <w:rPr>
          <w:b/>
          <w:bCs/>
          <w:sz w:val="22"/>
          <w:szCs w:val="22"/>
          <w:u w:val="single"/>
          <w:lang w:val="de-DE"/>
        </w:rPr>
        <w:t>Gliederung der Vorlesung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1</w:t>
      </w:r>
      <w:r w:rsidRPr="00D8411E">
        <w:rPr>
          <w:sz w:val="22"/>
          <w:szCs w:val="22"/>
          <w:lang w:val="de-DE"/>
        </w:rPr>
        <w:tab/>
        <w:t>Begriff und Grundstrukturen des Sachenrechts, Übersicht über die gesetzlichen Regelungen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2</w:t>
      </w:r>
      <w:r w:rsidRPr="00D8411E">
        <w:rPr>
          <w:sz w:val="22"/>
          <w:szCs w:val="22"/>
          <w:lang w:val="de-DE"/>
        </w:rPr>
        <w:tab/>
        <w:t xml:space="preserve">Der Besitz (Arten, Erwerb und Verlust des Besitzes, Besitzschutz) (dazu </w:t>
      </w:r>
      <w:r w:rsidRPr="00D8411E">
        <w:rPr>
          <w:b/>
          <w:sz w:val="22"/>
          <w:szCs w:val="22"/>
          <w:lang w:val="de-DE"/>
        </w:rPr>
        <w:t>Arbeitspapier Nr. 2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3</w:t>
      </w:r>
      <w:r w:rsidRPr="00D8411E">
        <w:rPr>
          <w:sz w:val="22"/>
          <w:szCs w:val="22"/>
          <w:lang w:val="de-DE"/>
        </w:rPr>
        <w:tab/>
        <w:t xml:space="preserve">Das Eigentum (Inhalt, privat- und öffentlich-rechtliche Beschränkungen des Eigentums, 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vor allem des Grundeigentums, Wohnungseigentum und Dauerwohnrecht)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4</w:t>
      </w:r>
      <w:r w:rsidRPr="00D8411E">
        <w:rPr>
          <w:sz w:val="22"/>
          <w:szCs w:val="22"/>
          <w:lang w:val="de-DE"/>
        </w:rPr>
        <w:tab/>
        <w:t xml:space="preserve">Die Übereignung beweglicher Sachen (Erwerb vom Berechtigten und Nichtberechtigten) 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 xml:space="preserve">(dazu </w:t>
      </w:r>
      <w:r w:rsidRPr="00D8411E">
        <w:rPr>
          <w:b/>
          <w:sz w:val="22"/>
          <w:szCs w:val="22"/>
          <w:lang w:val="de-DE"/>
        </w:rPr>
        <w:t>Arbeitspapiere Nr. 3, 4 und 5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5</w:t>
      </w:r>
      <w:r w:rsidRPr="00D8411E">
        <w:rPr>
          <w:sz w:val="22"/>
          <w:szCs w:val="22"/>
          <w:lang w:val="de-DE"/>
        </w:rPr>
        <w:tab/>
        <w:t xml:space="preserve">Sonstige Gründe für den Eigentumserwerb und -verlust bei beweglichen Sachen 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 xml:space="preserve">(dazu </w:t>
      </w:r>
      <w:r w:rsidRPr="00D8411E">
        <w:rPr>
          <w:b/>
          <w:sz w:val="22"/>
          <w:szCs w:val="22"/>
          <w:lang w:val="de-DE"/>
        </w:rPr>
        <w:t>Arbeitspapier Nr. 5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6</w:t>
      </w:r>
      <w:r w:rsidRPr="00D8411E">
        <w:rPr>
          <w:sz w:val="22"/>
          <w:szCs w:val="22"/>
          <w:lang w:val="de-DE"/>
        </w:rPr>
        <w:tab/>
        <w:t xml:space="preserve">Anwartschaft und Anwartschaftsrechte (dazu </w:t>
      </w:r>
      <w:r w:rsidRPr="00D8411E">
        <w:rPr>
          <w:b/>
          <w:sz w:val="22"/>
          <w:szCs w:val="22"/>
          <w:lang w:val="de-DE"/>
        </w:rPr>
        <w:t>Arbeitspapier Nr. 6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7</w:t>
      </w:r>
      <w:r w:rsidRPr="00D8411E">
        <w:rPr>
          <w:sz w:val="22"/>
          <w:szCs w:val="22"/>
          <w:lang w:val="de-DE"/>
        </w:rPr>
        <w:tab/>
        <w:t>Schutz dinglicher Rechte im privaten und öffentlichen Recht (Überblick)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8</w:t>
      </w:r>
      <w:r w:rsidRPr="00D8411E">
        <w:rPr>
          <w:sz w:val="22"/>
          <w:szCs w:val="22"/>
          <w:lang w:val="de-DE"/>
        </w:rPr>
        <w:tab/>
        <w:t xml:space="preserve">Das Eigentümer-Besitzer-Verhältnis (dazu </w:t>
      </w:r>
      <w:r w:rsidRPr="00D8411E">
        <w:rPr>
          <w:b/>
          <w:sz w:val="22"/>
          <w:szCs w:val="22"/>
          <w:lang w:val="de-DE"/>
        </w:rPr>
        <w:t>Arbeitspapier Nr. 7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 9</w:t>
      </w:r>
      <w:r w:rsidRPr="00D8411E">
        <w:rPr>
          <w:sz w:val="22"/>
          <w:szCs w:val="22"/>
          <w:lang w:val="de-DE"/>
        </w:rPr>
        <w:tab/>
        <w:t>Der Beseitigungs- und Unterlassungsanspruch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10</w:t>
      </w:r>
      <w:r w:rsidRPr="00D8411E">
        <w:rPr>
          <w:sz w:val="22"/>
          <w:szCs w:val="22"/>
          <w:lang w:val="de-DE"/>
        </w:rPr>
        <w:tab/>
        <w:t>Das Grundbuchrecht (Überblick)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11</w:t>
      </w:r>
      <w:r w:rsidRPr="00D8411E">
        <w:rPr>
          <w:sz w:val="22"/>
          <w:szCs w:val="22"/>
          <w:lang w:val="de-DE"/>
        </w:rPr>
        <w:tab/>
        <w:t>Das unrichtige Grundbuch (Widerspruch, Grundbuchberichtigung)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12</w:t>
      </w:r>
      <w:r w:rsidRPr="00D8411E">
        <w:rPr>
          <w:sz w:val="22"/>
          <w:szCs w:val="22"/>
          <w:lang w:val="de-DE"/>
        </w:rPr>
        <w:tab/>
        <w:t>Rechtsänderungen an Grundstücken (Überblick)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13</w:t>
      </w:r>
      <w:r w:rsidRPr="00D8411E">
        <w:rPr>
          <w:sz w:val="22"/>
          <w:szCs w:val="22"/>
          <w:lang w:val="de-DE"/>
        </w:rPr>
        <w:tab/>
        <w:t>Der öffentliche Glaube des Grundbuchs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14</w:t>
      </w:r>
      <w:r w:rsidRPr="00D8411E">
        <w:rPr>
          <w:sz w:val="22"/>
          <w:szCs w:val="22"/>
          <w:lang w:val="de-DE"/>
        </w:rPr>
        <w:tab/>
        <w:t xml:space="preserve">Grundstückskaufvertrag, Vorkaufsrecht, Grundstücksübereignung (dazu </w:t>
      </w:r>
      <w:r w:rsidRPr="00D8411E">
        <w:rPr>
          <w:b/>
          <w:sz w:val="22"/>
          <w:szCs w:val="22"/>
          <w:lang w:val="de-DE"/>
        </w:rPr>
        <w:t>Arbeitspapier Nr. 8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15</w:t>
      </w:r>
      <w:r w:rsidRPr="00D8411E">
        <w:rPr>
          <w:sz w:val="22"/>
          <w:szCs w:val="22"/>
          <w:lang w:val="de-DE"/>
        </w:rPr>
        <w:tab/>
        <w:t xml:space="preserve">Die Vormerkung (dazu </w:t>
      </w:r>
      <w:r w:rsidRPr="00D8411E">
        <w:rPr>
          <w:b/>
          <w:sz w:val="22"/>
          <w:szCs w:val="22"/>
          <w:lang w:val="de-DE"/>
        </w:rPr>
        <w:t>Arbeitspapier Nr. 8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16</w:t>
      </w:r>
      <w:r w:rsidRPr="00D8411E">
        <w:rPr>
          <w:sz w:val="22"/>
          <w:szCs w:val="22"/>
          <w:lang w:val="de-DE"/>
        </w:rPr>
        <w:tab/>
        <w:t>Das Rangverhältnis mehrerer Grundstücksrechte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17</w:t>
      </w:r>
      <w:r w:rsidRPr="00D8411E">
        <w:rPr>
          <w:sz w:val="22"/>
          <w:szCs w:val="22"/>
          <w:lang w:val="de-DE"/>
        </w:rPr>
        <w:tab/>
        <w:t>Die Grundpfandrechte (Überblick)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18</w:t>
      </w:r>
      <w:r w:rsidRPr="00D8411E">
        <w:rPr>
          <w:sz w:val="22"/>
          <w:szCs w:val="22"/>
          <w:lang w:val="de-DE"/>
        </w:rPr>
        <w:tab/>
        <w:t>Die Verkehrshypothek (Begründung, Übertragung, gesetzlicher Übergang, Haftung und Ver</w:t>
      </w:r>
      <w:r w:rsidRPr="00D8411E">
        <w:rPr>
          <w:sz w:val="22"/>
          <w:szCs w:val="22"/>
          <w:lang w:val="de-DE"/>
        </w:rPr>
        <w:softHyphen/>
        <w:t xml:space="preserve">wirklichung) (dazu </w:t>
      </w:r>
      <w:r w:rsidRPr="00D8411E">
        <w:rPr>
          <w:b/>
          <w:sz w:val="22"/>
          <w:szCs w:val="22"/>
          <w:lang w:val="de-DE"/>
        </w:rPr>
        <w:t>Arbeitspapiere Nr. 9 und 10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19</w:t>
      </w:r>
      <w:r w:rsidRPr="00D8411E">
        <w:rPr>
          <w:sz w:val="22"/>
          <w:szCs w:val="22"/>
          <w:lang w:val="de-DE"/>
        </w:rPr>
        <w:tab/>
        <w:t>Die Sicherungshypothek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20</w:t>
      </w:r>
      <w:r w:rsidRPr="00D8411E">
        <w:rPr>
          <w:sz w:val="22"/>
          <w:szCs w:val="22"/>
          <w:lang w:val="de-DE"/>
        </w:rPr>
        <w:tab/>
        <w:t xml:space="preserve">Der Umfang der Hypothekenhaftung (dazu </w:t>
      </w:r>
      <w:r w:rsidRPr="00D8411E">
        <w:rPr>
          <w:b/>
          <w:sz w:val="22"/>
          <w:szCs w:val="22"/>
          <w:lang w:val="de-DE"/>
        </w:rPr>
        <w:t>Arbeitspapier Nr. 11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21</w:t>
      </w:r>
      <w:r w:rsidRPr="00D8411E">
        <w:rPr>
          <w:sz w:val="22"/>
          <w:szCs w:val="22"/>
          <w:lang w:val="de-DE"/>
        </w:rPr>
        <w:tab/>
        <w:t xml:space="preserve">Die Grundschuld (dazu </w:t>
      </w:r>
      <w:r w:rsidRPr="00D8411E">
        <w:rPr>
          <w:b/>
          <w:sz w:val="22"/>
          <w:szCs w:val="22"/>
          <w:lang w:val="de-DE"/>
        </w:rPr>
        <w:t>Arbeitspapier Nr. 12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22</w:t>
      </w:r>
      <w:r w:rsidRPr="00D8411E">
        <w:rPr>
          <w:sz w:val="22"/>
          <w:szCs w:val="22"/>
          <w:lang w:val="de-DE"/>
        </w:rPr>
        <w:tab/>
        <w:t xml:space="preserve">Die Nutzungsrechte an Grundstücken (Nießbrauch, Grunddienstbarkeit, beschränkte 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persönliche Dienstbarkeit, Reallast)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§ 23</w:t>
      </w:r>
      <w:r w:rsidRPr="00D8411E">
        <w:rPr>
          <w:sz w:val="22"/>
          <w:szCs w:val="22"/>
          <w:lang w:val="de-DE"/>
        </w:rPr>
        <w:tab/>
        <w:t xml:space="preserve">Das Pfandrecht (dazu </w:t>
      </w:r>
      <w:r w:rsidRPr="00D8411E">
        <w:rPr>
          <w:b/>
          <w:sz w:val="22"/>
          <w:szCs w:val="22"/>
          <w:lang w:val="de-DE"/>
        </w:rPr>
        <w:t>Arbeitspapier Nr. 13</w:t>
      </w:r>
      <w:r w:rsidRPr="00D8411E">
        <w:rPr>
          <w:sz w:val="22"/>
          <w:szCs w:val="22"/>
          <w:lang w:val="de-DE"/>
        </w:rPr>
        <w:t>)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b/>
          <w:bCs/>
          <w:sz w:val="22"/>
          <w:szCs w:val="22"/>
          <w:u w:val="single"/>
          <w:lang w:val="de-DE"/>
        </w:rPr>
        <w:t>II. Lehrbücher zum Sachenrecht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- Baur/Stürner, Sachenrecht, 18. Aufl., München 2009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- G</w:t>
      </w:r>
      <w:r w:rsidR="00EE09B5">
        <w:rPr>
          <w:sz w:val="22"/>
          <w:szCs w:val="22"/>
          <w:lang w:val="de-DE"/>
        </w:rPr>
        <w:t>ottwald</w:t>
      </w:r>
      <w:r w:rsidRPr="00D8411E">
        <w:rPr>
          <w:sz w:val="22"/>
          <w:szCs w:val="22"/>
          <w:lang w:val="de-DE"/>
        </w:rPr>
        <w:t>, Sachenrecht, 16. Aufl., München 2014</w:t>
      </w:r>
    </w:p>
    <w:p w:rsidR="009B69AB" w:rsidRPr="00D8411E" w:rsidRDefault="00EE09B5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- Harms</w:t>
      </w:r>
      <w:r w:rsidR="009B69AB" w:rsidRPr="00D8411E">
        <w:rPr>
          <w:sz w:val="22"/>
          <w:szCs w:val="22"/>
          <w:lang w:val="de-DE"/>
        </w:rPr>
        <w:t>, Sachenrecht, 4. Aufl., Frankfurt 1983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-</w:t>
      </w:r>
      <w:r w:rsidR="00EE09B5">
        <w:rPr>
          <w:sz w:val="22"/>
          <w:szCs w:val="22"/>
          <w:lang w:val="de-DE"/>
        </w:rPr>
        <w:t xml:space="preserve"> Prütting</w:t>
      </w:r>
      <w:r w:rsidR="00D44921">
        <w:rPr>
          <w:sz w:val="22"/>
          <w:szCs w:val="22"/>
          <w:lang w:val="de-DE"/>
        </w:rPr>
        <w:t>, Sachenrecht, 36. Aufl., München 2017</w:t>
      </w:r>
    </w:p>
    <w:p w:rsidR="009B69AB" w:rsidRPr="00D8411E" w:rsidRDefault="00EE09B5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- Vieweg/Werner</w:t>
      </w:r>
      <w:r w:rsidR="009B69AB" w:rsidRPr="00D8411E">
        <w:rPr>
          <w:sz w:val="22"/>
          <w:szCs w:val="22"/>
          <w:lang w:val="de-DE"/>
        </w:rPr>
        <w:t xml:space="preserve">, Sachenrecht, </w:t>
      </w:r>
      <w:r w:rsidR="000C11A7" w:rsidRPr="00D8411E">
        <w:rPr>
          <w:sz w:val="22"/>
          <w:szCs w:val="22"/>
          <w:lang w:val="de-DE"/>
        </w:rPr>
        <w:t>7.</w:t>
      </w:r>
      <w:r w:rsidR="009B69AB" w:rsidRPr="00D8411E">
        <w:rPr>
          <w:sz w:val="22"/>
          <w:szCs w:val="22"/>
          <w:lang w:val="de-DE"/>
        </w:rPr>
        <w:t>. Aufl., München 201</w:t>
      </w:r>
      <w:r w:rsidR="000C11A7" w:rsidRPr="00D8411E">
        <w:rPr>
          <w:sz w:val="22"/>
          <w:szCs w:val="22"/>
          <w:lang w:val="de-DE"/>
        </w:rPr>
        <w:t>5</w:t>
      </w:r>
    </w:p>
    <w:p w:rsidR="009B69AB" w:rsidRPr="00D8411E" w:rsidRDefault="00EE09B5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- Wolf</w:t>
      </w:r>
      <w:r w:rsidR="009B69AB" w:rsidRPr="00D8411E">
        <w:rPr>
          <w:sz w:val="22"/>
          <w:szCs w:val="22"/>
          <w:lang w:val="de-DE"/>
        </w:rPr>
        <w:t>/</w:t>
      </w:r>
      <w:proofErr w:type="spellStart"/>
      <w:r w:rsidR="009B69AB" w:rsidRPr="00D8411E">
        <w:rPr>
          <w:sz w:val="22"/>
          <w:szCs w:val="22"/>
          <w:lang w:val="de-DE"/>
        </w:rPr>
        <w:t>Wellen</w:t>
      </w:r>
      <w:r>
        <w:rPr>
          <w:sz w:val="22"/>
          <w:szCs w:val="22"/>
          <w:lang w:val="de-DE"/>
        </w:rPr>
        <w:t>hofer</w:t>
      </w:r>
      <w:proofErr w:type="spellEnd"/>
      <w:r w:rsidR="009B69AB" w:rsidRPr="00D8411E">
        <w:rPr>
          <w:sz w:val="22"/>
          <w:szCs w:val="22"/>
          <w:lang w:val="de-DE"/>
        </w:rPr>
        <w:t xml:space="preserve">, Sachenrecht, </w:t>
      </w:r>
      <w:r w:rsidR="00D44921">
        <w:rPr>
          <w:sz w:val="22"/>
          <w:szCs w:val="22"/>
          <w:lang w:val="de-DE"/>
        </w:rPr>
        <w:t>32</w:t>
      </w:r>
      <w:r w:rsidR="009B69AB" w:rsidRPr="00D8411E">
        <w:rPr>
          <w:sz w:val="22"/>
          <w:szCs w:val="22"/>
          <w:lang w:val="de-DE"/>
        </w:rPr>
        <w:t>. Aufl., München 201</w:t>
      </w:r>
      <w:r w:rsidR="00D44921">
        <w:rPr>
          <w:sz w:val="22"/>
          <w:szCs w:val="22"/>
          <w:lang w:val="de-DE"/>
        </w:rPr>
        <w:t>7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>- Wolff/Raiser, Sachenrecht, 10. Bearb., Tübingen 1957</w:t>
      </w:r>
      <w:bookmarkStart w:id="1" w:name="QuickMark"/>
      <w:bookmarkEnd w:id="1"/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szCs w:val="22"/>
          <w:u w:val="single"/>
          <w:lang w:val="de-DE"/>
        </w:rPr>
      </w:pPr>
      <w:r w:rsidRPr="00D8411E">
        <w:rPr>
          <w:b/>
          <w:sz w:val="22"/>
          <w:szCs w:val="22"/>
          <w:u w:val="single"/>
          <w:lang w:val="de-DE"/>
        </w:rPr>
        <w:t>III. Sonstige Literatur</w:t>
      </w:r>
    </w:p>
    <w:p w:rsidR="009B69AB" w:rsidRPr="00D8411E" w:rsidRDefault="009B69AB" w:rsidP="009B69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szCs w:val="22"/>
          <w:u w:val="single"/>
          <w:lang w:val="de-DE"/>
        </w:rPr>
      </w:pPr>
    </w:p>
    <w:p w:rsidR="00D8411E" w:rsidRPr="00D8411E" w:rsidRDefault="00EE09B5" w:rsidP="00D84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- </w:t>
      </w:r>
      <w:proofErr w:type="spellStart"/>
      <w:r>
        <w:rPr>
          <w:sz w:val="22"/>
          <w:szCs w:val="22"/>
          <w:lang w:val="de-DE"/>
        </w:rPr>
        <w:t>Medicus</w:t>
      </w:r>
      <w:proofErr w:type="spellEnd"/>
      <w:r>
        <w:rPr>
          <w:sz w:val="22"/>
          <w:szCs w:val="22"/>
          <w:lang w:val="de-DE"/>
        </w:rPr>
        <w:t xml:space="preserve">/Petersen, </w:t>
      </w:r>
      <w:r w:rsidR="009B69AB" w:rsidRPr="00D8411E">
        <w:rPr>
          <w:sz w:val="22"/>
          <w:szCs w:val="22"/>
          <w:lang w:val="de-DE"/>
        </w:rPr>
        <w:t>Bürgerliches Recht, 2</w:t>
      </w:r>
      <w:r w:rsidR="00D44921">
        <w:rPr>
          <w:sz w:val="22"/>
          <w:szCs w:val="22"/>
          <w:lang w:val="de-DE"/>
        </w:rPr>
        <w:t xml:space="preserve">6. Aufl. </w:t>
      </w:r>
      <w:r w:rsidR="009B69AB" w:rsidRPr="00D8411E">
        <w:rPr>
          <w:sz w:val="22"/>
          <w:szCs w:val="22"/>
          <w:lang w:val="de-DE"/>
        </w:rPr>
        <w:t>201</w:t>
      </w:r>
      <w:r w:rsidR="00D44921">
        <w:rPr>
          <w:sz w:val="22"/>
          <w:szCs w:val="22"/>
          <w:lang w:val="de-DE"/>
        </w:rPr>
        <w:t>7</w:t>
      </w:r>
    </w:p>
    <w:p w:rsidR="00D8411E" w:rsidRPr="00D8411E" w:rsidRDefault="009B69AB" w:rsidP="00D841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 xml:space="preserve">- </w:t>
      </w:r>
      <w:proofErr w:type="spellStart"/>
      <w:r w:rsidR="00D8411E" w:rsidRPr="00D8411E">
        <w:rPr>
          <w:sz w:val="22"/>
          <w:szCs w:val="22"/>
          <w:lang w:val="de-DE"/>
        </w:rPr>
        <w:t>Looschelders</w:t>
      </w:r>
      <w:proofErr w:type="spellEnd"/>
      <w:r w:rsidR="00D8411E" w:rsidRPr="00D8411E">
        <w:rPr>
          <w:sz w:val="22"/>
          <w:szCs w:val="22"/>
          <w:lang w:val="de-DE"/>
        </w:rPr>
        <w:t xml:space="preserve">, Schuldrecht – </w:t>
      </w:r>
      <w:r w:rsidR="00EA61B5">
        <w:rPr>
          <w:sz w:val="22"/>
          <w:szCs w:val="22"/>
          <w:lang w:val="de-DE"/>
        </w:rPr>
        <w:t>Besonderer Teil, 11. Aufl. 2016</w:t>
      </w:r>
    </w:p>
    <w:p w:rsidR="002C02E2" w:rsidRPr="00D8411E" w:rsidRDefault="00D8411E" w:rsidP="00C52C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lang w:val="de-DE"/>
        </w:rPr>
      </w:pPr>
      <w:r w:rsidRPr="00D8411E">
        <w:rPr>
          <w:sz w:val="22"/>
          <w:szCs w:val="22"/>
          <w:lang w:val="de-DE"/>
        </w:rPr>
        <w:t xml:space="preserve">- </w:t>
      </w:r>
      <w:proofErr w:type="spellStart"/>
      <w:r w:rsidRPr="00D8411E">
        <w:rPr>
          <w:sz w:val="22"/>
          <w:szCs w:val="22"/>
          <w:lang w:val="de-DE"/>
        </w:rPr>
        <w:t>Looschelders</w:t>
      </w:r>
      <w:proofErr w:type="spellEnd"/>
      <w:r w:rsidRPr="00D8411E">
        <w:rPr>
          <w:sz w:val="22"/>
          <w:szCs w:val="22"/>
          <w:lang w:val="de-DE"/>
        </w:rPr>
        <w:t>, Sc</w:t>
      </w:r>
      <w:r w:rsidR="00D44921">
        <w:rPr>
          <w:sz w:val="22"/>
          <w:szCs w:val="22"/>
          <w:lang w:val="de-DE"/>
        </w:rPr>
        <w:t>huldrecht – Allgemeiner Teil, 15. Aufl. 2017</w:t>
      </w:r>
    </w:p>
    <w:sectPr w:rsidR="002C02E2" w:rsidRPr="00D8411E">
      <w:headerReference w:type="default" r:id="rId8"/>
      <w:footerReference w:type="default" r:id="rId9"/>
      <w:pgSz w:w="11905" w:h="16837"/>
      <w:pgMar w:top="1417" w:right="1134" w:bottom="850" w:left="1134" w:header="1417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9D" w:rsidRDefault="007A2D9D" w:rsidP="00164451">
      <w:r>
        <w:separator/>
      </w:r>
    </w:p>
  </w:endnote>
  <w:endnote w:type="continuationSeparator" w:id="0">
    <w:p w:rsidR="007A2D9D" w:rsidRDefault="007A2D9D" w:rsidP="001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06958"/>
      <w:docPartObj>
        <w:docPartGallery w:val="Page Numbers (Bottom of Page)"/>
        <w:docPartUnique/>
      </w:docPartObj>
    </w:sdtPr>
    <w:sdtEndPr/>
    <w:sdtContent>
      <w:p w:rsidR="00826B61" w:rsidRDefault="00826B6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4A2" w:rsidRPr="00BB34A2">
          <w:rPr>
            <w:noProof/>
            <w:lang w:val="de-DE"/>
          </w:rPr>
          <w:t>1</w:t>
        </w:r>
        <w:r>
          <w:fldChar w:fldCharType="end"/>
        </w:r>
      </w:p>
    </w:sdtContent>
  </w:sdt>
  <w:p w:rsidR="00826B61" w:rsidRDefault="00826B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9D" w:rsidRDefault="007A2D9D" w:rsidP="00164451">
      <w:r>
        <w:separator/>
      </w:r>
    </w:p>
  </w:footnote>
  <w:footnote w:type="continuationSeparator" w:id="0">
    <w:p w:rsidR="007A2D9D" w:rsidRDefault="007A2D9D" w:rsidP="0016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51" w:rsidRDefault="00164451">
    <w:pPr>
      <w:pStyle w:val="Kopfzeile"/>
    </w:pPr>
    <w:r>
      <w:t xml:space="preserve">Prof. Dr. Thomas Hoeren </w:t>
    </w:r>
  </w:p>
  <w:p w:rsidR="00164451" w:rsidRDefault="001644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50E"/>
    <w:multiLevelType w:val="hybridMultilevel"/>
    <w:tmpl w:val="F1A01E26"/>
    <w:lvl w:ilvl="0" w:tplc="7D663E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37BB56B-138E-42B3-B1FA-611D92210779}"/>
    <w:docVar w:name="dgnword-eventsink" w:val="388075704"/>
  </w:docVars>
  <w:rsids>
    <w:rsidRoot w:val="009B69AB"/>
    <w:rsid w:val="000C11A7"/>
    <w:rsid w:val="00164451"/>
    <w:rsid w:val="002C02E2"/>
    <w:rsid w:val="00755FE0"/>
    <w:rsid w:val="007A2D9D"/>
    <w:rsid w:val="00826B61"/>
    <w:rsid w:val="009B69AB"/>
    <w:rsid w:val="00AE0785"/>
    <w:rsid w:val="00BB34A2"/>
    <w:rsid w:val="00C52CAD"/>
    <w:rsid w:val="00D44921"/>
    <w:rsid w:val="00D8411E"/>
    <w:rsid w:val="00D93F9C"/>
    <w:rsid w:val="00EA61B5"/>
    <w:rsid w:val="00E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45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1644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45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51"/>
    <w:rPr>
      <w:rFonts w:ascii="Tahoma" w:eastAsia="Times New Roman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D8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4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445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1644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451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51"/>
    <w:rPr>
      <w:rFonts w:ascii="Tahoma" w:eastAsia="Times New Roman" w:hAnsi="Tahoma" w:cs="Tahoma"/>
      <w:sz w:val="16"/>
      <w:szCs w:val="16"/>
      <w:lang w:val="en-US" w:eastAsia="de-DE"/>
    </w:rPr>
  </w:style>
  <w:style w:type="paragraph" w:styleId="Listenabsatz">
    <w:name w:val="List Paragraph"/>
    <w:basedOn w:val="Standard"/>
    <w:uiPriority w:val="34"/>
    <w:qFormat/>
    <w:rsid w:val="00D8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Rechtswissenschaftliche Fakultät / IVV FB03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Popp</dc:creator>
  <cp:lastModifiedBy>Thomas Hoeren</cp:lastModifiedBy>
  <cp:revision>11</cp:revision>
  <dcterms:created xsi:type="dcterms:W3CDTF">2016-02-04T08:18:00Z</dcterms:created>
  <dcterms:modified xsi:type="dcterms:W3CDTF">2020-07-09T07:04:00Z</dcterms:modified>
</cp:coreProperties>
</file>