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D5" w:rsidRPr="00580E19" w:rsidRDefault="007821D5" w:rsidP="007821D5">
      <w:pPr>
        <w:jc w:val="center"/>
        <w:rPr>
          <w:rFonts w:ascii="Meta Offc Pro" w:eastAsia="Times New Roman" w:hAnsi="Meta Offc Pro" w:cs="Times New Roman"/>
          <w:b/>
          <w:sz w:val="28"/>
          <w:szCs w:val="28"/>
          <w:lang w:eastAsia="de-DE"/>
        </w:rPr>
      </w:pPr>
      <w:r w:rsidRPr="00580E19">
        <w:rPr>
          <w:rFonts w:ascii="Meta Offc Pro" w:eastAsia="Times New Roman" w:hAnsi="Meta Offc Pro" w:cs="Times New Roman"/>
          <w:b/>
          <w:sz w:val="28"/>
          <w:szCs w:val="28"/>
          <w:lang w:eastAsia="de-DE"/>
        </w:rPr>
        <w:t>Gesetzliche Schuldverhältnisse</w:t>
      </w:r>
    </w:p>
    <w:p w:rsidR="007821D5" w:rsidRPr="00580E19" w:rsidRDefault="00C71981" w:rsidP="007821D5">
      <w:pPr>
        <w:jc w:val="center"/>
        <w:rPr>
          <w:rFonts w:ascii="Meta Offc Pro" w:eastAsia="Times New Roman" w:hAnsi="Meta Offc Pro" w:cs="Times New Roman"/>
          <w:b/>
          <w:sz w:val="28"/>
          <w:szCs w:val="28"/>
          <w:lang w:eastAsia="de-DE"/>
        </w:rPr>
      </w:pPr>
      <w:r>
        <w:rPr>
          <w:rFonts w:ascii="Meta Offc Pro" w:eastAsia="Times New Roman" w:hAnsi="Meta Offc Pro" w:cs="Times New Roman"/>
          <w:b/>
          <w:sz w:val="28"/>
          <w:szCs w:val="28"/>
          <w:lang w:eastAsia="de-DE"/>
        </w:rPr>
        <w:t>Arbeitspapier 3</w:t>
      </w:r>
      <w:r w:rsidR="007821D5" w:rsidRPr="00580E19">
        <w:rPr>
          <w:rFonts w:ascii="Meta Offc Pro" w:eastAsia="Times New Roman" w:hAnsi="Meta Offc Pro" w:cs="Times New Roman"/>
          <w:b/>
          <w:sz w:val="28"/>
          <w:szCs w:val="28"/>
          <w:lang w:eastAsia="de-DE"/>
        </w:rPr>
        <w:t>: Geschäftsfü</w:t>
      </w:r>
      <w:r w:rsidR="00773CEC" w:rsidRPr="00580E19">
        <w:rPr>
          <w:rFonts w:ascii="Meta Offc Pro" w:eastAsia="Times New Roman" w:hAnsi="Meta Offc Pro" w:cs="Times New Roman"/>
          <w:b/>
          <w:sz w:val="28"/>
          <w:szCs w:val="28"/>
          <w:lang w:eastAsia="de-DE"/>
        </w:rPr>
        <w:t xml:space="preserve">hrung ohne Auftrag – Unechte </w:t>
      </w:r>
      <w:proofErr w:type="spellStart"/>
      <w:r w:rsidR="00773CEC" w:rsidRPr="00580E19">
        <w:rPr>
          <w:rFonts w:ascii="Meta Offc Pro" w:eastAsia="Times New Roman" w:hAnsi="Meta Offc Pro" w:cs="Times New Roman"/>
          <w:b/>
          <w:sz w:val="28"/>
          <w:szCs w:val="28"/>
          <w:lang w:eastAsia="de-DE"/>
        </w:rPr>
        <w:t>GoA</w:t>
      </w:r>
      <w:proofErr w:type="spellEnd"/>
    </w:p>
    <w:p w:rsidR="007821D5" w:rsidRPr="00580E19" w:rsidRDefault="007821D5" w:rsidP="007821D5">
      <w:pPr>
        <w:rPr>
          <w:rFonts w:ascii="Meta Offc Pro" w:eastAsia="Times New Roman" w:hAnsi="Meta Offc Pro" w:cs="Times New Roman"/>
          <w:b/>
          <w:szCs w:val="24"/>
          <w:lang w:eastAsia="de-DE"/>
        </w:rPr>
      </w:pPr>
      <w:r w:rsidRPr="00580E19">
        <w:rPr>
          <w:rFonts w:ascii="Meta Offc Pro" w:eastAsia="Times New Roman" w:hAnsi="Meta Offc Pro" w:cs="Times New Roman"/>
          <w:b/>
          <w:szCs w:val="24"/>
          <w:lang w:eastAsia="de-DE"/>
        </w:rPr>
        <w:t>Literaturhinweise:</w:t>
      </w:r>
    </w:p>
    <w:p w:rsidR="007821D5" w:rsidRDefault="00580E19" w:rsidP="00580E19">
      <w:pPr>
        <w:rPr>
          <w:rFonts w:ascii="Meta Offc Pro" w:eastAsia="Times New Roman" w:hAnsi="Meta Offc Pro" w:cs="Times New Roman"/>
          <w:sz w:val="22"/>
          <w:lang w:eastAsia="de-DE"/>
        </w:rPr>
      </w:pPr>
      <w:proofErr w:type="spellStart"/>
      <w:r>
        <w:rPr>
          <w:rFonts w:ascii="Meta Offc Pro" w:eastAsia="Times New Roman" w:hAnsi="Meta Offc Pro" w:cs="Times New Roman"/>
          <w:i/>
          <w:sz w:val="22"/>
          <w:lang w:eastAsia="de-DE"/>
        </w:rPr>
        <w:t>Dornis</w:t>
      </w:r>
      <w:proofErr w:type="spellEnd"/>
      <w:r>
        <w:rPr>
          <w:rFonts w:ascii="Meta Offc Pro" w:eastAsia="Times New Roman" w:hAnsi="Meta Offc Pro" w:cs="Times New Roman"/>
          <w:i/>
          <w:sz w:val="22"/>
          <w:lang w:eastAsia="de-DE"/>
        </w:rPr>
        <w:t xml:space="preserve">, </w:t>
      </w:r>
      <w:r w:rsidRPr="00580E19">
        <w:rPr>
          <w:rFonts w:ascii="Meta Offc Pro" w:eastAsia="Times New Roman" w:hAnsi="Meta Offc Pro" w:cs="Times New Roman"/>
          <w:sz w:val="22"/>
          <w:lang w:eastAsia="de-DE"/>
        </w:rPr>
        <w:t>Das Dilemma der Erbensucher, JZ 2013, 592</w:t>
      </w:r>
      <w:r w:rsidRPr="00580E19">
        <w:rPr>
          <w:rFonts w:ascii="Meta Offc Pro" w:eastAsia="Times New Roman" w:hAnsi="Meta Offc Pro" w:cs="Times New Roman"/>
          <w:i/>
          <w:sz w:val="22"/>
          <w:lang w:eastAsia="de-DE"/>
        </w:rPr>
        <w:t xml:space="preserve">; </w:t>
      </w:r>
      <w:r w:rsidR="00322FBA" w:rsidRPr="00322FBA">
        <w:rPr>
          <w:rFonts w:ascii="Meta Offc Pro" w:eastAsia="Times New Roman" w:hAnsi="Meta Offc Pro" w:cs="Times New Roman"/>
          <w:i/>
          <w:sz w:val="22"/>
          <w:lang w:eastAsia="de-DE"/>
        </w:rPr>
        <w:t>Gutzeit/</w:t>
      </w:r>
      <w:proofErr w:type="spellStart"/>
      <w:r w:rsidR="00322FBA" w:rsidRPr="00322FBA">
        <w:rPr>
          <w:rFonts w:ascii="Meta Offc Pro" w:eastAsia="Times New Roman" w:hAnsi="Meta Offc Pro" w:cs="Times New Roman"/>
          <w:i/>
          <w:sz w:val="22"/>
          <w:lang w:eastAsia="de-DE"/>
        </w:rPr>
        <w:t>Vrban</w:t>
      </w:r>
      <w:proofErr w:type="spellEnd"/>
      <w:r w:rsidR="00322FBA" w:rsidRPr="00322FBA">
        <w:rPr>
          <w:rFonts w:ascii="Meta Offc Pro" w:eastAsia="Times New Roman" w:hAnsi="Meta Offc Pro" w:cs="Times New Roman"/>
          <w:i/>
          <w:sz w:val="22"/>
          <w:lang w:eastAsia="de-DE"/>
        </w:rPr>
        <w:t xml:space="preserve">, </w:t>
      </w:r>
      <w:r w:rsidR="00322FBA" w:rsidRPr="00322FBA">
        <w:rPr>
          <w:rFonts w:ascii="Meta Offc Pro" w:eastAsia="Times New Roman" w:hAnsi="Meta Offc Pro" w:cs="Times New Roman"/>
          <w:sz w:val="22"/>
          <w:lang w:eastAsia="de-DE"/>
        </w:rPr>
        <w:t>Bestattung ohne Auftrag, NJW 2012, 1630;</w:t>
      </w:r>
      <w:r w:rsidR="00322FBA">
        <w:rPr>
          <w:rFonts w:ascii="Meta Offc Pro" w:eastAsia="Times New Roman" w:hAnsi="Meta Offc Pro" w:cs="Times New Roman"/>
          <w:i/>
          <w:sz w:val="22"/>
          <w:lang w:eastAsia="de-DE"/>
        </w:rPr>
        <w:t xml:space="preserve"> </w:t>
      </w:r>
      <w:r w:rsidR="00322FBA" w:rsidRPr="00322FBA">
        <w:rPr>
          <w:rFonts w:ascii="Meta Offc Pro" w:eastAsia="Times New Roman" w:hAnsi="Meta Offc Pro" w:cs="Times New Roman"/>
          <w:i/>
          <w:sz w:val="22"/>
          <w:lang w:eastAsia="de-DE"/>
        </w:rPr>
        <w:t>Hofmann</w:t>
      </w:r>
      <w:r w:rsidR="00322FBA" w:rsidRPr="00322FBA">
        <w:rPr>
          <w:rFonts w:ascii="Meta Offc Pro" w:eastAsia="Times New Roman" w:hAnsi="Meta Offc Pro" w:cs="Times New Roman"/>
          <w:sz w:val="22"/>
          <w:lang w:eastAsia="de-DE"/>
        </w:rPr>
        <w:t>, Gewinnherausgabe bei</w:t>
      </w:r>
      <w:r w:rsidR="00322FBA">
        <w:rPr>
          <w:rFonts w:ascii="Meta Offc Pro" w:eastAsia="Times New Roman" w:hAnsi="Meta Offc Pro" w:cs="Times New Roman"/>
          <w:sz w:val="22"/>
          <w:lang w:eastAsia="de-DE"/>
        </w:rPr>
        <w:t xml:space="preserve"> Vertragsverletzungen, </w:t>
      </w:r>
      <w:proofErr w:type="spellStart"/>
      <w:r w:rsidR="00322FBA">
        <w:rPr>
          <w:rFonts w:ascii="Meta Offc Pro" w:eastAsia="Times New Roman" w:hAnsi="Meta Offc Pro" w:cs="Times New Roman"/>
          <w:sz w:val="22"/>
          <w:lang w:eastAsia="de-DE"/>
        </w:rPr>
        <w:t>AcP</w:t>
      </w:r>
      <w:proofErr w:type="spellEnd"/>
      <w:r w:rsidR="00322FBA">
        <w:rPr>
          <w:rFonts w:ascii="Meta Offc Pro" w:eastAsia="Times New Roman" w:hAnsi="Meta Offc Pro" w:cs="Times New Roman"/>
          <w:sz w:val="22"/>
          <w:lang w:eastAsia="de-DE"/>
        </w:rPr>
        <w:t xml:space="preserve"> 2013</w:t>
      </w:r>
      <w:r w:rsidR="00322FBA" w:rsidRPr="00322FBA">
        <w:rPr>
          <w:rFonts w:ascii="Meta Offc Pro" w:eastAsia="Times New Roman" w:hAnsi="Meta Offc Pro" w:cs="Times New Roman"/>
          <w:sz w:val="22"/>
          <w:lang w:eastAsia="de-DE"/>
        </w:rPr>
        <w:t>, 469</w:t>
      </w:r>
      <w:r w:rsidR="00322FBA">
        <w:rPr>
          <w:rFonts w:ascii="Meta Offc Pro" w:eastAsia="Times New Roman" w:hAnsi="Meta Offc Pro" w:cs="Times New Roman"/>
          <w:sz w:val="22"/>
          <w:lang w:eastAsia="de-DE"/>
        </w:rPr>
        <w:t xml:space="preserve">; </w:t>
      </w:r>
      <w:proofErr w:type="spellStart"/>
      <w:r w:rsidR="0051571B" w:rsidRPr="00580E19">
        <w:rPr>
          <w:rFonts w:ascii="Meta Offc Pro" w:hAnsi="Meta Offc Pro"/>
          <w:i/>
          <w:sz w:val="22"/>
          <w:lang w:eastAsia="de-DE"/>
        </w:rPr>
        <w:t>Klocke</w:t>
      </w:r>
      <w:proofErr w:type="spellEnd"/>
      <w:r w:rsidR="0051571B" w:rsidRPr="00580E19">
        <w:rPr>
          <w:rFonts w:ascii="Meta Offc Pro" w:hAnsi="Meta Offc Pro"/>
          <w:i/>
          <w:sz w:val="22"/>
          <w:lang w:eastAsia="de-DE"/>
        </w:rPr>
        <w:t xml:space="preserve">, </w:t>
      </w:r>
      <w:r w:rsidR="0051571B" w:rsidRPr="00580E19">
        <w:rPr>
          <w:rFonts w:ascii="Meta Offc Pro" w:hAnsi="Meta Offc Pro"/>
          <w:sz w:val="22"/>
          <w:lang w:eastAsia="de-DE"/>
        </w:rPr>
        <w:t>Die Haftung des unredlichen Besitzers nach § 687 Abs. 2 BGB</w:t>
      </w:r>
      <w:r>
        <w:rPr>
          <w:rFonts w:ascii="Meta Offc Pro" w:hAnsi="Meta Offc Pro"/>
          <w:sz w:val="22"/>
          <w:lang w:eastAsia="de-DE"/>
        </w:rPr>
        <w:t xml:space="preserve">, JZ 2018, 661; </w:t>
      </w:r>
      <w:r w:rsidRPr="00580E19">
        <w:rPr>
          <w:rFonts w:ascii="Meta Offc Pro" w:hAnsi="Meta Offc Pro"/>
          <w:sz w:val="22"/>
          <w:lang w:eastAsia="de-DE"/>
        </w:rPr>
        <w:t xml:space="preserve">Zum Wahlrecht des Geschäftsherrn: </w:t>
      </w:r>
      <w:proofErr w:type="spellStart"/>
      <w:r w:rsidRPr="00580E19">
        <w:rPr>
          <w:rFonts w:ascii="Meta Offc Pro" w:hAnsi="Meta Offc Pro"/>
          <w:i/>
          <w:sz w:val="22"/>
          <w:lang w:eastAsia="de-DE"/>
        </w:rPr>
        <w:t>Wandt</w:t>
      </w:r>
      <w:proofErr w:type="spellEnd"/>
      <w:r w:rsidRPr="00580E19">
        <w:rPr>
          <w:rFonts w:ascii="Meta Offc Pro" w:hAnsi="Meta Offc Pro"/>
          <w:sz w:val="22"/>
          <w:lang w:eastAsia="de-DE"/>
        </w:rPr>
        <w:t>, Gesetzliche Schuldverhältnisse, 9. Aufl</w:t>
      </w:r>
      <w:r w:rsidR="00485FFF">
        <w:rPr>
          <w:rFonts w:ascii="Meta Offc Pro" w:hAnsi="Meta Offc Pro"/>
          <w:sz w:val="22"/>
          <w:lang w:eastAsia="de-DE"/>
        </w:rPr>
        <w:t xml:space="preserve">age, München 2019, § 6 Rn. 7 ff; </w:t>
      </w:r>
      <w:r w:rsidR="00485FFF" w:rsidRPr="00CB27E9">
        <w:rPr>
          <w:rFonts w:ascii="Meta Offc Pro" w:eastAsia="Times New Roman" w:hAnsi="Meta Offc Pro" w:cs="Times New Roman"/>
          <w:i/>
          <w:sz w:val="22"/>
          <w:lang w:eastAsia="de-DE"/>
        </w:rPr>
        <w:t>Wilke</w:t>
      </w:r>
      <w:r w:rsidR="00485FFF" w:rsidRPr="00CB27E9">
        <w:rPr>
          <w:rFonts w:ascii="Meta Offc Pro" w:eastAsia="Times New Roman" w:hAnsi="Meta Offc Pro" w:cs="Times New Roman"/>
          <w:sz w:val="22"/>
          <w:lang w:eastAsia="de-DE"/>
        </w:rPr>
        <w:t>, Gedanken zu einer normativen Bestimmung des Fremdgeschäftsfüh</w:t>
      </w:r>
      <w:r w:rsidR="00485FFF">
        <w:rPr>
          <w:rFonts w:ascii="Meta Offc Pro" w:eastAsia="Times New Roman" w:hAnsi="Meta Offc Pro" w:cs="Times New Roman"/>
          <w:sz w:val="22"/>
          <w:lang w:eastAsia="de-DE"/>
        </w:rPr>
        <w:t xml:space="preserve">rungswillens, </w:t>
      </w:r>
      <w:r w:rsidR="00485FFF" w:rsidRPr="00CB27E9">
        <w:rPr>
          <w:rFonts w:ascii="Meta Offc Pro" w:eastAsia="Times New Roman" w:hAnsi="Meta Offc Pro" w:cs="Times New Roman"/>
          <w:sz w:val="22"/>
          <w:lang w:eastAsia="de-DE"/>
        </w:rPr>
        <w:t>JURA 2013, 547.</w:t>
      </w:r>
    </w:p>
    <w:p w:rsidR="00580E19" w:rsidRPr="00CB27E9" w:rsidRDefault="00580E19" w:rsidP="00580E19">
      <w:pPr>
        <w:rPr>
          <w:rFonts w:ascii="Meta Offc Pro" w:eastAsia="Times New Roman" w:hAnsi="Meta Offc Pro" w:cs="Times New Roman"/>
          <w:sz w:val="22"/>
          <w:lang w:eastAsia="de-DE"/>
        </w:rPr>
      </w:pPr>
      <w:r>
        <w:rPr>
          <w:rFonts w:ascii="Meta Offc Pro" w:hAnsi="Meta Offc Pro"/>
          <w:sz w:val="22"/>
          <w:lang w:eastAsia="de-DE"/>
        </w:rPr>
        <w:t xml:space="preserve">Übungsfälle: </w:t>
      </w:r>
      <w:proofErr w:type="spellStart"/>
      <w:r w:rsidR="00485FFF" w:rsidRPr="003B5E3D">
        <w:rPr>
          <w:rFonts w:ascii="Meta Offc Pro" w:eastAsia="Times New Roman" w:hAnsi="Meta Offc Pro" w:cs="Times New Roman"/>
          <w:i/>
          <w:sz w:val="22"/>
          <w:lang w:eastAsia="de-DE"/>
        </w:rPr>
        <w:t>Fasholz</w:t>
      </w:r>
      <w:proofErr w:type="spellEnd"/>
      <w:r w:rsidR="00485FFF">
        <w:rPr>
          <w:rFonts w:ascii="Meta Offc Pro" w:eastAsia="Times New Roman" w:hAnsi="Meta Offc Pro" w:cs="Times New Roman"/>
          <w:sz w:val="22"/>
          <w:lang w:eastAsia="de-DE"/>
        </w:rPr>
        <w:t xml:space="preserve">, Gesetzliche Schuldverhältnisse: Erschlichene Ballonfahrt: </w:t>
      </w:r>
      <w:r w:rsidR="00485FFF" w:rsidRPr="00054A1F">
        <w:rPr>
          <w:rFonts w:ascii="Meta Offc Pro" w:eastAsia="Times New Roman" w:hAnsi="Meta Offc Pro" w:cs="Times New Roman"/>
          <w:sz w:val="22"/>
          <w:lang w:eastAsia="de-DE"/>
        </w:rPr>
        <w:t>Der Flugreisefall als Rundreisefall</w:t>
      </w:r>
      <w:r w:rsidR="00485FFF">
        <w:rPr>
          <w:rFonts w:ascii="Meta Offc Pro" w:eastAsia="Times New Roman" w:hAnsi="Meta Offc Pro" w:cs="Times New Roman"/>
          <w:sz w:val="22"/>
          <w:lang w:eastAsia="de-DE"/>
        </w:rPr>
        <w:t xml:space="preserve">, Ad </w:t>
      </w:r>
      <w:proofErr w:type="spellStart"/>
      <w:r w:rsidR="00485FFF">
        <w:rPr>
          <w:rFonts w:ascii="Meta Offc Pro" w:eastAsia="Times New Roman" w:hAnsi="Meta Offc Pro" w:cs="Times New Roman"/>
          <w:sz w:val="22"/>
          <w:lang w:eastAsia="de-DE"/>
        </w:rPr>
        <w:t>Legendum</w:t>
      </w:r>
      <w:proofErr w:type="spellEnd"/>
      <w:r w:rsidR="00485FFF">
        <w:rPr>
          <w:rFonts w:ascii="Meta Offc Pro" w:eastAsia="Times New Roman" w:hAnsi="Meta Offc Pro" w:cs="Times New Roman"/>
          <w:sz w:val="22"/>
          <w:lang w:eastAsia="de-DE"/>
        </w:rPr>
        <w:t xml:space="preserve"> 2011, 205; </w:t>
      </w:r>
      <w:r w:rsidR="00E344D9" w:rsidRPr="00E344D9">
        <w:rPr>
          <w:rFonts w:ascii="Meta Offc Pro" w:hAnsi="Meta Offc Pro"/>
          <w:i/>
          <w:sz w:val="22"/>
          <w:lang w:eastAsia="de-DE"/>
        </w:rPr>
        <w:t>Heyers</w:t>
      </w:r>
      <w:r w:rsidR="00E344D9">
        <w:rPr>
          <w:rFonts w:ascii="Meta Offc Pro" w:hAnsi="Meta Offc Pro"/>
          <w:sz w:val="22"/>
          <w:lang w:eastAsia="de-DE"/>
        </w:rPr>
        <w:t xml:space="preserve">, </w:t>
      </w:r>
      <w:proofErr w:type="spellStart"/>
      <w:r w:rsidR="00E344D9" w:rsidRPr="00E344D9">
        <w:rPr>
          <w:rFonts w:ascii="Meta Offc Pro" w:hAnsi="Meta Offc Pro"/>
          <w:sz w:val="22"/>
          <w:lang w:eastAsia="de-DE"/>
        </w:rPr>
        <w:t>Grundstudium</w:t>
      </w:r>
      <w:r w:rsidR="00E344D9">
        <w:rPr>
          <w:rFonts w:ascii="Meta Offc Pro" w:hAnsi="Meta Offc Pro"/>
          <w:sz w:val="22"/>
          <w:lang w:eastAsia="de-DE"/>
        </w:rPr>
        <w:t>sklausur</w:t>
      </w:r>
      <w:proofErr w:type="spellEnd"/>
      <w:r w:rsidR="00E344D9" w:rsidRPr="00E344D9">
        <w:rPr>
          <w:rFonts w:ascii="Meta Offc Pro" w:hAnsi="Meta Offc Pro"/>
          <w:sz w:val="22"/>
          <w:lang w:eastAsia="de-DE"/>
        </w:rPr>
        <w:t xml:space="preserve">: „Umsonst gearbeitet?", Ad </w:t>
      </w:r>
      <w:proofErr w:type="spellStart"/>
      <w:r w:rsidR="00E344D9" w:rsidRPr="00E344D9">
        <w:rPr>
          <w:rFonts w:ascii="Meta Offc Pro" w:hAnsi="Meta Offc Pro"/>
          <w:sz w:val="22"/>
          <w:lang w:eastAsia="de-DE"/>
        </w:rPr>
        <w:t>Legendum</w:t>
      </w:r>
      <w:proofErr w:type="spellEnd"/>
      <w:r w:rsidR="00E344D9" w:rsidRPr="00E344D9">
        <w:rPr>
          <w:rFonts w:ascii="Meta Offc Pro" w:hAnsi="Meta Offc Pro"/>
          <w:sz w:val="22"/>
          <w:lang w:eastAsia="de-DE"/>
        </w:rPr>
        <w:t xml:space="preserve"> 2019, 227</w:t>
      </w:r>
      <w:r w:rsidR="00E344D9">
        <w:rPr>
          <w:rFonts w:ascii="Meta Offc Pro" w:hAnsi="Meta Offc Pro"/>
          <w:sz w:val="22"/>
          <w:lang w:eastAsia="de-DE"/>
        </w:rPr>
        <w:t xml:space="preserve">; </w:t>
      </w:r>
      <w:r w:rsidRPr="003B5E3D">
        <w:rPr>
          <w:rFonts w:ascii="Meta Offc Pro" w:eastAsia="Times New Roman" w:hAnsi="Meta Offc Pro" w:cs="Times New Roman"/>
          <w:i/>
          <w:sz w:val="22"/>
          <w:lang w:eastAsia="de-DE"/>
        </w:rPr>
        <w:t>Wendelstein,</w:t>
      </w:r>
      <w:r>
        <w:rPr>
          <w:rFonts w:ascii="Meta Offc Pro" w:eastAsia="Times New Roman" w:hAnsi="Meta Offc Pro" w:cs="Times New Roman"/>
          <w:sz w:val="22"/>
          <w:lang w:eastAsia="de-DE"/>
        </w:rPr>
        <w:t xml:space="preserve"> Fort</w:t>
      </w:r>
      <w:r w:rsidRPr="003B5E3D">
        <w:rPr>
          <w:rFonts w:ascii="Meta Offc Pro" w:eastAsia="Times New Roman" w:hAnsi="Meta Offc Pro" w:cs="Times New Roman"/>
          <w:sz w:val="22"/>
          <w:lang w:eastAsia="de-DE"/>
        </w:rPr>
        <w:t>geschrittenenklausur:  Der glücklose Erbensucher</w:t>
      </w:r>
      <w:r>
        <w:rPr>
          <w:rFonts w:ascii="Meta Offc Pro" w:eastAsia="Times New Roman" w:hAnsi="Meta Offc Pro" w:cs="Times New Roman"/>
          <w:sz w:val="22"/>
          <w:lang w:eastAsia="de-DE"/>
        </w:rPr>
        <w:t xml:space="preserve"> JURA</w:t>
      </w:r>
      <w:r w:rsidRPr="003B5E3D">
        <w:rPr>
          <w:rFonts w:ascii="Meta Offc Pro" w:eastAsia="Times New Roman" w:hAnsi="Meta Offc Pro" w:cs="Times New Roman"/>
          <w:sz w:val="22"/>
          <w:lang w:eastAsia="de-DE"/>
        </w:rPr>
        <w:t xml:space="preserve"> 2019, 186</w:t>
      </w:r>
      <w:r>
        <w:rPr>
          <w:rFonts w:ascii="Meta Offc Pro" w:eastAsia="Times New Roman" w:hAnsi="Meta Offc Pro" w:cs="Times New Roman"/>
          <w:sz w:val="22"/>
          <w:lang w:eastAsia="de-DE"/>
        </w:rPr>
        <w:t>.</w:t>
      </w:r>
    </w:p>
    <w:p w:rsidR="00580E19" w:rsidRPr="00580E19" w:rsidRDefault="00580E19" w:rsidP="00580E19">
      <w:pPr>
        <w:rPr>
          <w:rFonts w:ascii="Meta Offc Pro" w:hAnsi="Meta Offc Pro"/>
          <w:sz w:val="22"/>
          <w:lang w:eastAsia="de-DE"/>
        </w:rPr>
      </w:pPr>
    </w:p>
    <w:p w:rsidR="007821D5" w:rsidRPr="00580E19" w:rsidRDefault="001A75D2" w:rsidP="007821D5">
      <w:pPr>
        <w:rPr>
          <w:rFonts w:ascii="Meta Offc Pro" w:eastAsia="Times New Roman" w:hAnsi="Meta Offc Pro" w:cs="Times New Roman"/>
          <w:b/>
          <w:szCs w:val="24"/>
          <w:lang w:eastAsia="de-DE"/>
        </w:rPr>
      </w:pPr>
      <w:r w:rsidRPr="00580E19">
        <w:rPr>
          <w:rFonts w:ascii="Meta Offc Pro" w:eastAsia="Times New Roman" w:hAnsi="Meta Offc Pro" w:cs="Times New Roman"/>
          <w:b/>
          <w:szCs w:val="24"/>
          <w:lang w:eastAsia="de-DE"/>
        </w:rPr>
        <w:t xml:space="preserve">Theoretische </w:t>
      </w:r>
      <w:r w:rsidR="00F3683A" w:rsidRPr="00580E19">
        <w:rPr>
          <w:rFonts w:ascii="Meta Offc Pro" w:eastAsia="Times New Roman" w:hAnsi="Meta Offc Pro" w:cs="Times New Roman"/>
          <w:b/>
          <w:szCs w:val="24"/>
          <w:lang w:eastAsia="de-DE"/>
        </w:rPr>
        <w:t>Grundlagen</w:t>
      </w:r>
      <w:r w:rsidR="007821D5" w:rsidRPr="00580E19">
        <w:rPr>
          <w:rFonts w:ascii="Meta Offc Pro" w:eastAsia="Times New Roman" w:hAnsi="Meta Offc Pro" w:cs="Times New Roman"/>
          <w:b/>
          <w:szCs w:val="24"/>
          <w:lang w:eastAsia="de-DE"/>
        </w:rPr>
        <w:t>:</w:t>
      </w:r>
    </w:p>
    <w:p w:rsidR="007821D5" w:rsidRPr="007F756E" w:rsidRDefault="00A213A7" w:rsidP="00A213A7">
      <w:pPr>
        <w:rPr>
          <w:rFonts w:ascii="Meta Offc Pro" w:hAnsi="Meta Offc Pro"/>
          <w:sz w:val="22"/>
        </w:rPr>
      </w:pPr>
      <w:r w:rsidRPr="007F756E">
        <w:rPr>
          <w:rFonts w:ascii="Meta Offc Pro" w:hAnsi="Meta Offc Pro"/>
          <w:sz w:val="22"/>
        </w:rPr>
        <w:t xml:space="preserve">Die unechte </w:t>
      </w:r>
      <w:proofErr w:type="spellStart"/>
      <w:r w:rsidRPr="00353DEB">
        <w:rPr>
          <w:rFonts w:ascii="Meta Offc Pro" w:hAnsi="Meta Offc Pro"/>
          <w:b/>
          <w:sz w:val="22"/>
        </w:rPr>
        <w:t>GoA</w:t>
      </w:r>
      <w:proofErr w:type="spellEnd"/>
      <w:r w:rsidRPr="007F756E">
        <w:rPr>
          <w:rFonts w:ascii="Meta Offc Pro" w:hAnsi="Meta Offc Pro"/>
          <w:sz w:val="22"/>
        </w:rPr>
        <w:t xml:space="preserve"> ist ausdrücklich in </w:t>
      </w:r>
      <w:r w:rsidRPr="00353DEB">
        <w:rPr>
          <w:rFonts w:ascii="Meta Offc Pro" w:hAnsi="Meta Offc Pro"/>
          <w:b/>
          <w:sz w:val="22"/>
        </w:rPr>
        <w:t>§ 687 BGB</w:t>
      </w:r>
      <w:r w:rsidRPr="007F756E">
        <w:rPr>
          <w:rFonts w:ascii="Meta Offc Pro" w:hAnsi="Meta Offc Pro"/>
          <w:sz w:val="22"/>
        </w:rPr>
        <w:t xml:space="preserve"> geregelt.</w:t>
      </w:r>
      <w:r w:rsidR="00917A1E" w:rsidRPr="007F756E">
        <w:rPr>
          <w:rFonts w:ascii="Meta Offc Pro" w:hAnsi="Meta Offc Pro"/>
          <w:sz w:val="22"/>
        </w:rPr>
        <w:t xml:space="preserve"> </w:t>
      </w:r>
      <w:r w:rsidRPr="007F756E">
        <w:rPr>
          <w:rFonts w:ascii="Meta Offc Pro" w:hAnsi="Meta Offc Pro"/>
          <w:sz w:val="22"/>
        </w:rPr>
        <w:t xml:space="preserve">Kennzeichen der unechten </w:t>
      </w:r>
      <w:proofErr w:type="spellStart"/>
      <w:r w:rsidRPr="007F756E">
        <w:rPr>
          <w:rFonts w:ascii="Meta Offc Pro" w:hAnsi="Meta Offc Pro"/>
          <w:sz w:val="22"/>
        </w:rPr>
        <w:t>GoA</w:t>
      </w:r>
      <w:proofErr w:type="spellEnd"/>
      <w:r w:rsidRPr="007F756E">
        <w:rPr>
          <w:rFonts w:ascii="Meta Offc Pro" w:hAnsi="Meta Offc Pro"/>
          <w:sz w:val="22"/>
        </w:rPr>
        <w:t xml:space="preserve"> ist, das</w:t>
      </w:r>
      <w:r w:rsidR="00917A1E" w:rsidRPr="007F756E">
        <w:rPr>
          <w:rFonts w:ascii="Meta Offc Pro" w:hAnsi="Meta Offc Pro"/>
          <w:sz w:val="22"/>
        </w:rPr>
        <w:t>s</w:t>
      </w:r>
      <w:r w:rsidRPr="007F756E">
        <w:rPr>
          <w:rFonts w:ascii="Meta Offc Pro" w:hAnsi="Meta Offc Pro"/>
          <w:sz w:val="22"/>
        </w:rPr>
        <w:t xml:space="preserve"> in einen ausschließlich fremden Rechtskreis eingegriffen wird. Im Unterschied zur echten </w:t>
      </w:r>
      <w:proofErr w:type="spellStart"/>
      <w:r w:rsidRPr="007F756E">
        <w:rPr>
          <w:rFonts w:ascii="Meta Offc Pro" w:hAnsi="Meta Offc Pro"/>
          <w:sz w:val="22"/>
        </w:rPr>
        <w:t>GoA</w:t>
      </w:r>
      <w:proofErr w:type="spellEnd"/>
      <w:r w:rsidRPr="007F756E">
        <w:rPr>
          <w:rFonts w:ascii="Meta Offc Pro" w:hAnsi="Meta Offc Pro"/>
          <w:sz w:val="22"/>
        </w:rPr>
        <w:t xml:space="preserve"> </w:t>
      </w:r>
      <w:r w:rsidRPr="00353DEB">
        <w:rPr>
          <w:rFonts w:ascii="Meta Offc Pro" w:hAnsi="Meta Offc Pro"/>
          <w:b/>
          <w:sz w:val="22"/>
        </w:rPr>
        <w:t>fehlt</w:t>
      </w:r>
      <w:r w:rsidRPr="007F756E">
        <w:rPr>
          <w:rFonts w:ascii="Meta Offc Pro" w:hAnsi="Meta Offc Pro"/>
          <w:sz w:val="22"/>
        </w:rPr>
        <w:t xml:space="preserve"> aber der </w:t>
      </w:r>
      <w:r w:rsidRPr="00353DEB">
        <w:rPr>
          <w:rFonts w:ascii="Meta Offc Pro" w:hAnsi="Meta Offc Pro"/>
          <w:b/>
          <w:sz w:val="22"/>
        </w:rPr>
        <w:t>Fremdgeschäftsführungswille</w:t>
      </w:r>
      <w:r w:rsidR="00917A1E" w:rsidRPr="007F756E">
        <w:rPr>
          <w:rFonts w:ascii="Meta Offc Pro" w:hAnsi="Meta Offc Pro"/>
          <w:sz w:val="22"/>
        </w:rPr>
        <w:t>.</w:t>
      </w:r>
      <w:r w:rsidRPr="007F756E">
        <w:rPr>
          <w:rFonts w:ascii="Meta Offc Pro" w:hAnsi="Meta Offc Pro"/>
          <w:sz w:val="22"/>
        </w:rPr>
        <w:t xml:space="preserve"> </w:t>
      </w:r>
    </w:p>
    <w:p w:rsidR="00917A1E" w:rsidRPr="007F756E" w:rsidRDefault="00917A1E" w:rsidP="00A213A7">
      <w:pPr>
        <w:rPr>
          <w:rFonts w:ascii="Meta Offc Pro" w:hAnsi="Meta Offc Pro"/>
          <w:sz w:val="22"/>
        </w:rPr>
      </w:pPr>
      <w:r w:rsidRPr="007F756E">
        <w:rPr>
          <w:rFonts w:ascii="Meta Offc Pro" w:hAnsi="Meta Offc Pro"/>
          <w:sz w:val="22"/>
        </w:rPr>
        <w:t xml:space="preserve">Das Gesetz kennt zwei Fälle der unechten </w:t>
      </w:r>
      <w:proofErr w:type="spellStart"/>
      <w:r w:rsidRPr="007F756E">
        <w:rPr>
          <w:rFonts w:ascii="Meta Offc Pro" w:hAnsi="Meta Offc Pro"/>
          <w:sz w:val="22"/>
        </w:rPr>
        <w:t>GoA</w:t>
      </w:r>
      <w:proofErr w:type="spellEnd"/>
      <w:r w:rsidRPr="007F756E">
        <w:rPr>
          <w:rFonts w:ascii="Meta Offc Pro" w:hAnsi="Meta Offc Pro"/>
          <w:sz w:val="22"/>
        </w:rPr>
        <w:t>:</w:t>
      </w:r>
    </w:p>
    <w:p w:rsidR="00A213A7" w:rsidRPr="007F756E" w:rsidRDefault="002A1392" w:rsidP="00887E26">
      <w:pPr>
        <w:pStyle w:val="Listenabsatz"/>
        <w:numPr>
          <w:ilvl w:val="0"/>
          <w:numId w:val="2"/>
        </w:numPr>
        <w:rPr>
          <w:rFonts w:ascii="Meta Offc Pro" w:hAnsi="Meta Offc Pro"/>
          <w:sz w:val="22"/>
        </w:rPr>
      </w:pPr>
      <w:r>
        <w:rPr>
          <w:rFonts w:ascii="Meta Offc Pro" w:hAnsi="Meta Offc Pro"/>
          <w:sz w:val="22"/>
        </w:rPr>
        <w:t xml:space="preserve"> In § 687 Abs. 1</w:t>
      </w:r>
      <w:r w:rsidR="00526D4A" w:rsidRPr="007F756E">
        <w:rPr>
          <w:rFonts w:ascii="Meta Offc Pro" w:hAnsi="Meta Offc Pro"/>
          <w:sz w:val="22"/>
        </w:rPr>
        <w:t> BGB</w:t>
      </w:r>
      <w:r w:rsidR="00917A1E" w:rsidRPr="007F756E">
        <w:rPr>
          <w:rFonts w:ascii="Meta Offc Pro" w:hAnsi="Meta Offc Pro"/>
          <w:sz w:val="22"/>
        </w:rPr>
        <w:t xml:space="preserve"> wird die </w:t>
      </w:r>
      <w:r w:rsidR="00917A1E" w:rsidRPr="007F756E">
        <w:rPr>
          <w:rFonts w:ascii="Meta Offc Pro" w:hAnsi="Meta Offc Pro"/>
          <w:b/>
          <w:sz w:val="22"/>
        </w:rPr>
        <w:t xml:space="preserve">irrtümliche Eigengeschäftsführung </w:t>
      </w:r>
      <w:r w:rsidR="00917A1E" w:rsidRPr="007F756E">
        <w:rPr>
          <w:rFonts w:ascii="Meta Offc Pro" w:hAnsi="Meta Offc Pro"/>
          <w:sz w:val="22"/>
        </w:rPr>
        <w:t xml:space="preserve">geregelt. </w:t>
      </w:r>
      <w:r w:rsidR="00887E26" w:rsidRPr="007F756E">
        <w:rPr>
          <w:rFonts w:ascii="Meta Offc Pro" w:hAnsi="Meta Offc Pro"/>
          <w:sz w:val="22"/>
        </w:rPr>
        <w:t>Dem Geschäftsführer</w:t>
      </w:r>
      <w:r w:rsidR="00917A1E" w:rsidRPr="007F756E">
        <w:rPr>
          <w:rFonts w:ascii="Meta Offc Pro" w:hAnsi="Meta Offc Pro"/>
          <w:sz w:val="22"/>
        </w:rPr>
        <w:t xml:space="preserve"> ist nicht bewusst, dass es sich um ein fremdes Geschäft handelt.</w:t>
      </w:r>
      <w:r w:rsidR="00887E26" w:rsidRPr="007F756E">
        <w:rPr>
          <w:rFonts w:ascii="Meta Offc Pro" w:hAnsi="Meta Offc Pro"/>
          <w:sz w:val="22"/>
        </w:rPr>
        <w:t xml:space="preserve"> Folglich kann er keinen Fremdgeschäftsführungswillen haben.</w:t>
      </w:r>
      <w:r w:rsidR="0051571B" w:rsidRPr="007F756E">
        <w:rPr>
          <w:rFonts w:ascii="Meta Offc Pro" w:hAnsi="Meta Offc Pro"/>
          <w:sz w:val="22"/>
        </w:rPr>
        <w:t xml:space="preserve"> Im Rahmen des § 687 Abs. 1 ist es unerheblich, ob der Irrtum des Handelnden verschuldet war. </w:t>
      </w:r>
    </w:p>
    <w:p w:rsidR="00887E26" w:rsidRPr="007F756E" w:rsidRDefault="00887E26" w:rsidP="00887E26">
      <w:pPr>
        <w:pStyle w:val="Listenabsatz"/>
        <w:rPr>
          <w:rFonts w:ascii="Meta Offc Pro" w:hAnsi="Meta Offc Pro"/>
          <w:sz w:val="22"/>
        </w:rPr>
      </w:pPr>
    </w:p>
    <w:p w:rsidR="00887E26" w:rsidRPr="007F756E" w:rsidRDefault="00887E26" w:rsidP="00887E26">
      <w:pPr>
        <w:pStyle w:val="Listenabsatz"/>
        <w:rPr>
          <w:rFonts w:ascii="Meta Offc Pro" w:hAnsi="Meta Offc Pro"/>
          <w:sz w:val="22"/>
        </w:rPr>
      </w:pPr>
      <w:r w:rsidRPr="007F756E">
        <w:rPr>
          <w:rFonts w:ascii="Meta Offc Pro" w:hAnsi="Meta Offc Pro"/>
          <w:sz w:val="22"/>
        </w:rPr>
        <w:t>Hier finden die Vorschriften der Geschäftsführung ohne Auftra</w:t>
      </w:r>
      <w:r w:rsidR="00C67823">
        <w:rPr>
          <w:rFonts w:ascii="Meta Offc Pro" w:hAnsi="Meta Offc Pro"/>
          <w:sz w:val="22"/>
        </w:rPr>
        <w:t>g keine Anwendung. Stattdessen</w:t>
      </w:r>
      <w:r w:rsidRPr="007F756E">
        <w:rPr>
          <w:rFonts w:ascii="Meta Offc Pro" w:hAnsi="Meta Offc Pro"/>
          <w:sz w:val="22"/>
        </w:rPr>
        <w:t xml:space="preserve"> richtet sich der Ausgleich nach den </w:t>
      </w:r>
      <w:r w:rsidRPr="00353DEB">
        <w:rPr>
          <w:rFonts w:ascii="Meta Offc Pro" w:hAnsi="Meta Offc Pro"/>
          <w:b/>
          <w:sz w:val="22"/>
        </w:rPr>
        <w:t>allgemeinen Regeln</w:t>
      </w:r>
      <w:r w:rsidRPr="007F756E">
        <w:rPr>
          <w:rFonts w:ascii="Meta Offc Pro" w:hAnsi="Meta Offc Pro"/>
          <w:sz w:val="22"/>
        </w:rPr>
        <w:t xml:space="preserve">. Insbesondere die </w:t>
      </w:r>
      <w:r w:rsidR="00526D4A" w:rsidRPr="007F756E">
        <w:rPr>
          <w:rFonts w:ascii="Meta Offc Pro" w:hAnsi="Meta Offc Pro"/>
          <w:sz w:val="22"/>
        </w:rPr>
        <w:t>Vorschriften zum Bereicherungsrecht §§ 812 ff. BGB, zum Schadensersatz §§ 823 ff. BGB und zum EBV §§ 987 ff. sind zu beachten.</w:t>
      </w:r>
    </w:p>
    <w:p w:rsidR="00887E26" w:rsidRPr="007F756E" w:rsidRDefault="00887E26" w:rsidP="00887E26">
      <w:pPr>
        <w:pStyle w:val="Listenabsatz"/>
        <w:rPr>
          <w:rFonts w:ascii="Meta Offc Pro" w:hAnsi="Meta Offc Pro"/>
          <w:sz w:val="22"/>
        </w:rPr>
      </w:pPr>
    </w:p>
    <w:p w:rsidR="00B37D8B" w:rsidRPr="007F756E" w:rsidRDefault="007C7F89" w:rsidP="00B37D8B">
      <w:pPr>
        <w:pStyle w:val="Listenabsatz"/>
        <w:numPr>
          <w:ilvl w:val="0"/>
          <w:numId w:val="2"/>
        </w:numPr>
        <w:rPr>
          <w:rFonts w:ascii="Meta Offc Pro" w:hAnsi="Meta Offc Pro"/>
          <w:sz w:val="22"/>
        </w:rPr>
      </w:pPr>
      <w:r>
        <w:rPr>
          <w:rFonts w:ascii="Meta Offc Pro" w:hAnsi="Meta Offc Pro"/>
          <w:sz w:val="22"/>
        </w:rPr>
        <w:t>§ 687 Abs. 2</w:t>
      </w:r>
      <w:r w:rsidR="00526D4A" w:rsidRPr="007F756E">
        <w:rPr>
          <w:rFonts w:ascii="Meta Offc Pro" w:hAnsi="Meta Offc Pro"/>
          <w:sz w:val="22"/>
        </w:rPr>
        <w:t> BGB</w:t>
      </w:r>
      <w:r w:rsidR="00917A1E" w:rsidRPr="007F756E">
        <w:rPr>
          <w:rFonts w:ascii="Meta Offc Pro" w:hAnsi="Meta Offc Pro"/>
          <w:sz w:val="22"/>
        </w:rPr>
        <w:t xml:space="preserve"> </w:t>
      </w:r>
      <w:r w:rsidR="00501DBB" w:rsidRPr="007F756E">
        <w:rPr>
          <w:rFonts w:ascii="Meta Offc Pro" w:hAnsi="Meta Offc Pro"/>
          <w:sz w:val="22"/>
        </w:rPr>
        <w:t xml:space="preserve">bestimmt Rechtsfolgen für die </w:t>
      </w:r>
      <w:r w:rsidR="00501DBB" w:rsidRPr="007F756E">
        <w:rPr>
          <w:rFonts w:ascii="Meta Offc Pro" w:hAnsi="Meta Offc Pro"/>
          <w:b/>
          <w:sz w:val="22"/>
        </w:rPr>
        <w:t>Geschäftsanmaßung</w:t>
      </w:r>
      <w:r w:rsidR="00887E26" w:rsidRPr="007F756E">
        <w:rPr>
          <w:rFonts w:ascii="Meta Offc Pro" w:hAnsi="Meta Offc Pro"/>
          <w:sz w:val="22"/>
        </w:rPr>
        <w:t>. Dem Geschäftsführer</w:t>
      </w:r>
      <w:r w:rsidR="00501DBB" w:rsidRPr="007F756E">
        <w:rPr>
          <w:rFonts w:ascii="Meta Offc Pro" w:hAnsi="Meta Offc Pro"/>
          <w:sz w:val="22"/>
        </w:rPr>
        <w:t xml:space="preserve"> ist bewusst, dass ein fremdes Rechtsgeschäft vorliegt. Dennoch </w:t>
      </w:r>
      <w:r w:rsidR="00B37D8B" w:rsidRPr="007F756E">
        <w:rPr>
          <w:rFonts w:ascii="Meta Offc Pro" w:hAnsi="Meta Offc Pro"/>
          <w:sz w:val="22"/>
        </w:rPr>
        <w:t>behandelt er es willentlich</w:t>
      </w:r>
      <w:r w:rsidR="00501DBB" w:rsidRPr="007F756E">
        <w:rPr>
          <w:rFonts w:ascii="Meta Offc Pro" w:hAnsi="Meta Offc Pro"/>
          <w:sz w:val="22"/>
        </w:rPr>
        <w:t xml:space="preserve"> als eigenes</w:t>
      </w:r>
      <w:r w:rsidR="00B37D8B" w:rsidRPr="007F756E">
        <w:rPr>
          <w:rFonts w:ascii="Meta Offc Pro" w:hAnsi="Meta Offc Pro"/>
          <w:sz w:val="22"/>
        </w:rPr>
        <w:t xml:space="preserve"> (Eigengeschäftsführungswille)</w:t>
      </w:r>
      <w:r w:rsidR="00501DBB" w:rsidRPr="007F756E">
        <w:rPr>
          <w:rFonts w:ascii="Meta Offc Pro" w:hAnsi="Meta Offc Pro"/>
          <w:sz w:val="22"/>
        </w:rPr>
        <w:t>.</w:t>
      </w:r>
    </w:p>
    <w:p w:rsidR="00B37D8B" w:rsidRPr="007F756E" w:rsidRDefault="00B37D8B" w:rsidP="00B37D8B">
      <w:pPr>
        <w:pStyle w:val="Listenabsatz"/>
        <w:rPr>
          <w:rFonts w:ascii="Meta Offc Pro" w:hAnsi="Meta Offc Pro"/>
          <w:sz w:val="22"/>
        </w:rPr>
      </w:pPr>
    </w:p>
    <w:p w:rsidR="00D55074" w:rsidRPr="007F756E" w:rsidRDefault="007C7F89" w:rsidP="00D55074">
      <w:pPr>
        <w:pStyle w:val="Listenabsatz"/>
        <w:rPr>
          <w:rFonts w:ascii="Meta Offc Pro" w:hAnsi="Meta Offc Pro"/>
          <w:sz w:val="22"/>
        </w:rPr>
      </w:pPr>
      <w:r>
        <w:rPr>
          <w:rFonts w:ascii="Meta Offc Pro" w:hAnsi="Meta Offc Pro"/>
          <w:sz w:val="22"/>
        </w:rPr>
        <w:t>Gem. § 687 Abs. 2</w:t>
      </w:r>
      <w:r w:rsidR="00B37D8B" w:rsidRPr="007F756E">
        <w:rPr>
          <w:rFonts w:ascii="Meta Offc Pro" w:hAnsi="Meta Offc Pro"/>
          <w:sz w:val="22"/>
        </w:rPr>
        <w:t xml:space="preserve"> BGB sind auch in diesem Fall die allgemeinen Vorschriften</w:t>
      </w:r>
      <w:r w:rsidR="008F4683" w:rsidRPr="007F756E">
        <w:rPr>
          <w:rFonts w:ascii="Meta Offc Pro" w:hAnsi="Meta Offc Pro"/>
          <w:sz w:val="22"/>
        </w:rPr>
        <w:t xml:space="preserve"> anwendbar</w:t>
      </w:r>
      <w:r w:rsidR="00B37D8B" w:rsidRPr="007F756E">
        <w:rPr>
          <w:rFonts w:ascii="Meta Offc Pro" w:hAnsi="Meta Offc Pro"/>
          <w:sz w:val="22"/>
        </w:rPr>
        <w:t xml:space="preserve"> (insbes. §§ 812, 816, 823, 987 ff BGB). Zudem steht dem Geschäftsherrn ein </w:t>
      </w:r>
      <w:r w:rsidR="00B37D8B" w:rsidRPr="00353DEB">
        <w:rPr>
          <w:rFonts w:ascii="Meta Offc Pro" w:hAnsi="Meta Offc Pro"/>
          <w:b/>
          <w:sz w:val="22"/>
        </w:rPr>
        <w:t>Wahlrecht</w:t>
      </w:r>
      <w:r w:rsidR="00B37D8B" w:rsidRPr="007F756E">
        <w:rPr>
          <w:rFonts w:ascii="Meta Offc Pro" w:hAnsi="Meta Offc Pro"/>
          <w:sz w:val="22"/>
        </w:rPr>
        <w:t xml:space="preserve"> bezüglich der Ansprüch</w:t>
      </w:r>
      <w:r w:rsidR="00D55074" w:rsidRPr="007F756E">
        <w:rPr>
          <w:rFonts w:ascii="Meta Offc Pro" w:hAnsi="Meta Offc Pro"/>
          <w:sz w:val="22"/>
        </w:rPr>
        <w:t xml:space="preserve">e aus §§ 677, 678, 681, 682 </w:t>
      </w:r>
      <w:r w:rsidR="00761213" w:rsidRPr="007F756E">
        <w:rPr>
          <w:rFonts w:ascii="Meta Offc Pro" w:hAnsi="Meta Offc Pro"/>
          <w:sz w:val="22"/>
        </w:rPr>
        <w:t xml:space="preserve">anstelle der allgemeinen Ansprüche </w:t>
      </w:r>
      <w:r w:rsidR="00D55074" w:rsidRPr="007F756E">
        <w:rPr>
          <w:rFonts w:ascii="Meta Offc Pro" w:hAnsi="Meta Offc Pro"/>
          <w:sz w:val="22"/>
        </w:rPr>
        <w:t>zu, um den Eingreifenden nicht zu privilegieren.</w:t>
      </w:r>
    </w:p>
    <w:p w:rsidR="00D55074" w:rsidRPr="007F756E" w:rsidRDefault="00D55074" w:rsidP="00D55074">
      <w:pPr>
        <w:pStyle w:val="Listenabsatz"/>
        <w:rPr>
          <w:rFonts w:ascii="Meta Offc Pro" w:hAnsi="Meta Offc Pro"/>
          <w:sz w:val="22"/>
        </w:rPr>
      </w:pPr>
    </w:p>
    <w:p w:rsidR="00245054" w:rsidRPr="007F756E" w:rsidRDefault="004A70E7" w:rsidP="00245054">
      <w:pPr>
        <w:pStyle w:val="Listenabsatz"/>
        <w:rPr>
          <w:rFonts w:ascii="Meta Offc Pro" w:hAnsi="Meta Offc Pro"/>
          <w:sz w:val="22"/>
        </w:rPr>
      </w:pPr>
      <w:r w:rsidRPr="007F756E">
        <w:rPr>
          <w:rFonts w:ascii="Meta Offc Pro" w:hAnsi="Meta Offc Pro"/>
          <w:sz w:val="22"/>
        </w:rPr>
        <w:t xml:space="preserve">Nimmt der Geschäftsherr den Geschäftsführer aus den </w:t>
      </w:r>
      <w:r w:rsidRPr="00353DEB">
        <w:rPr>
          <w:rFonts w:ascii="Meta Offc Pro" w:hAnsi="Meta Offc Pro"/>
          <w:b/>
          <w:sz w:val="22"/>
        </w:rPr>
        <w:t xml:space="preserve">Vorschriften der </w:t>
      </w:r>
      <w:proofErr w:type="spellStart"/>
      <w:r w:rsidRPr="00353DEB">
        <w:rPr>
          <w:rFonts w:ascii="Meta Offc Pro" w:hAnsi="Meta Offc Pro"/>
          <w:b/>
          <w:sz w:val="22"/>
        </w:rPr>
        <w:t>GoA</w:t>
      </w:r>
      <w:proofErr w:type="spellEnd"/>
      <w:r w:rsidRPr="007F756E">
        <w:rPr>
          <w:rFonts w:ascii="Meta Offc Pro" w:hAnsi="Meta Offc Pro"/>
          <w:sz w:val="22"/>
        </w:rPr>
        <w:t xml:space="preserve"> in Anspruch, dann ist er</w:t>
      </w:r>
      <w:r w:rsidR="007C7F89">
        <w:rPr>
          <w:rFonts w:ascii="Meta Offc Pro" w:hAnsi="Meta Offc Pro"/>
          <w:sz w:val="22"/>
        </w:rPr>
        <w:t xml:space="preserve"> selbst gem. § 687 Abs. 2</w:t>
      </w:r>
      <w:r w:rsidR="00D55074" w:rsidRPr="007F756E">
        <w:rPr>
          <w:rFonts w:ascii="Meta Offc Pro" w:hAnsi="Meta Offc Pro"/>
          <w:sz w:val="22"/>
        </w:rPr>
        <w:t xml:space="preserve"> S. 2 BGB verpflichtet, dem Geschäftsführer nach </w:t>
      </w:r>
      <w:r w:rsidR="00D55074" w:rsidRPr="007F756E">
        <w:rPr>
          <w:rFonts w:ascii="Meta Offc Pro" w:hAnsi="Meta Offc Pro"/>
          <w:sz w:val="22"/>
        </w:rPr>
        <w:lastRenderedPageBreak/>
        <w:t>§</w:t>
      </w:r>
      <w:r w:rsidR="007C7F89">
        <w:rPr>
          <w:rFonts w:ascii="Meta Offc Pro" w:hAnsi="Meta Offc Pro"/>
          <w:sz w:val="22"/>
        </w:rPr>
        <w:t> </w:t>
      </w:r>
      <w:r w:rsidR="00D55074" w:rsidRPr="007F756E">
        <w:rPr>
          <w:rFonts w:ascii="Meta Offc Pro" w:hAnsi="Meta Offc Pro"/>
          <w:sz w:val="22"/>
        </w:rPr>
        <w:t>684 S. 1 BGB das Erlangte herauszugeben.</w:t>
      </w:r>
      <w:r w:rsidR="00245054" w:rsidRPr="007F756E">
        <w:rPr>
          <w:rFonts w:ascii="Meta Offc Pro" w:hAnsi="Meta Offc Pro"/>
          <w:sz w:val="22"/>
        </w:rPr>
        <w:t xml:space="preserve"> Hierbei ist das Bereicherungsrecht anzuwenden.</w:t>
      </w:r>
    </w:p>
    <w:p w:rsidR="00245054" w:rsidRPr="007F756E" w:rsidRDefault="00245054" w:rsidP="00245054">
      <w:pPr>
        <w:pStyle w:val="Listenabsatz"/>
        <w:rPr>
          <w:rFonts w:ascii="Meta Offc Pro" w:hAnsi="Meta Offc Pro"/>
          <w:sz w:val="22"/>
        </w:rPr>
      </w:pPr>
      <w:r w:rsidRPr="007F756E">
        <w:rPr>
          <w:rFonts w:ascii="Meta Offc Pro" w:hAnsi="Meta Offc Pro"/>
          <w:sz w:val="22"/>
        </w:rPr>
        <w:t>Dies erweist sich jedoch als problematisch, wenn durch § 684 S. 1 BGB ein Anspruch auf die Herausgabe dessen besteht, was der Geschäftsherr seinerseits gem. § 681 S. 2, 667 BGB vom Geschäftsführer verlangen kann. Zur Vermeidung eines Hin- und Herr</w:t>
      </w:r>
      <w:r w:rsidR="000B2688" w:rsidRPr="007F756E">
        <w:rPr>
          <w:rFonts w:ascii="Meta Offc Pro" w:hAnsi="Meta Offc Pro"/>
          <w:sz w:val="22"/>
        </w:rPr>
        <w:t>eichens des jeweiligen Erlangten</w:t>
      </w:r>
      <w:r w:rsidRPr="007F756E">
        <w:rPr>
          <w:rFonts w:ascii="Meta Offc Pro" w:hAnsi="Meta Offc Pro"/>
          <w:sz w:val="22"/>
        </w:rPr>
        <w:t xml:space="preserve"> </w:t>
      </w:r>
      <w:r w:rsidR="0058449D">
        <w:rPr>
          <w:rFonts w:ascii="Meta Offc Pro" w:hAnsi="Meta Offc Pro"/>
          <w:sz w:val="22"/>
        </w:rPr>
        <w:t>besteht, wenn</w:t>
      </w:r>
      <w:r w:rsidRPr="007F756E">
        <w:rPr>
          <w:rFonts w:ascii="Meta Offc Pro" w:hAnsi="Meta Offc Pro"/>
          <w:sz w:val="22"/>
        </w:rPr>
        <w:t xml:space="preserve"> </w:t>
      </w:r>
      <w:r w:rsidR="0058449D">
        <w:rPr>
          <w:rFonts w:ascii="Meta Offc Pro" w:hAnsi="Meta Offc Pro"/>
          <w:sz w:val="22"/>
        </w:rPr>
        <w:t>der Geschäftsherr seinen Anspruch</w:t>
      </w:r>
      <w:r w:rsidRPr="007F756E">
        <w:rPr>
          <w:rFonts w:ascii="Meta Offc Pro" w:hAnsi="Meta Offc Pro"/>
          <w:sz w:val="22"/>
        </w:rPr>
        <w:t xml:space="preserve"> auf Herausgabe des Erlangten (z.B. Verkaufserlös)</w:t>
      </w:r>
      <w:r w:rsidR="0058449D">
        <w:rPr>
          <w:rFonts w:ascii="Meta Offc Pro" w:hAnsi="Meta Offc Pro"/>
          <w:sz w:val="22"/>
        </w:rPr>
        <w:t xml:space="preserve"> geltend macht,</w:t>
      </w:r>
      <w:r w:rsidRPr="007F756E">
        <w:rPr>
          <w:rFonts w:ascii="Meta Offc Pro" w:hAnsi="Meta Offc Pro"/>
          <w:sz w:val="22"/>
        </w:rPr>
        <w:t xml:space="preserve"> </w:t>
      </w:r>
      <w:r w:rsidR="0058449D">
        <w:rPr>
          <w:rFonts w:ascii="Meta Offc Pro" w:hAnsi="Meta Offc Pro"/>
          <w:sz w:val="22"/>
        </w:rPr>
        <w:t>seitens des Geschäftsführers nur ein Anspruch auf Herausgabe der Aufwendungen, die er zur Geschäftsführung getätigt hat nach Bereicherungsrecht, §§ 687 Abs. 2 S. 2, 684 S.</w:t>
      </w:r>
      <w:r w:rsidR="007C7F89">
        <w:rPr>
          <w:rFonts w:ascii="Meta Offc Pro" w:hAnsi="Meta Offc Pro"/>
          <w:sz w:val="22"/>
        </w:rPr>
        <w:t xml:space="preserve"> </w:t>
      </w:r>
      <w:r w:rsidR="0058449D">
        <w:rPr>
          <w:rFonts w:ascii="Meta Offc Pro" w:hAnsi="Meta Offc Pro"/>
          <w:sz w:val="22"/>
        </w:rPr>
        <w:t>2, 818 f. BGB</w:t>
      </w:r>
      <w:r w:rsidRPr="007F756E">
        <w:rPr>
          <w:rFonts w:ascii="Meta Offc Pro" w:hAnsi="Meta Offc Pro"/>
          <w:sz w:val="22"/>
        </w:rPr>
        <w:t>.</w:t>
      </w:r>
    </w:p>
    <w:p w:rsidR="00887E26" w:rsidRPr="00580E19" w:rsidRDefault="00232892" w:rsidP="007F756E">
      <w:pPr>
        <w:pStyle w:val="Listenabsatz"/>
        <w:rPr>
          <w:rFonts w:ascii="Meta Offc Pro" w:hAnsi="Meta Offc Pro"/>
        </w:rPr>
      </w:pPr>
      <w:r w:rsidRPr="00580E19">
        <w:rPr>
          <w:rFonts w:ascii="Meta Offc Pro" w:hAnsi="Meta Offc Pro"/>
          <w:szCs w:val="24"/>
        </w:rPr>
        <w:t xml:space="preserve"> </w:t>
      </w:r>
    </w:p>
    <w:p w:rsidR="007821D5" w:rsidRPr="00580E19" w:rsidRDefault="007821D5" w:rsidP="007821D5">
      <w:pPr>
        <w:rPr>
          <w:rFonts w:ascii="Meta Offc Pro" w:eastAsia="Times New Roman" w:hAnsi="Meta Offc Pro" w:cs="Times New Roman"/>
          <w:b/>
          <w:szCs w:val="24"/>
          <w:lang w:eastAsia="de-DE"/>
        </w:rPr>
      </w:pPr>
      <w:r w:rsidRPr="00580E19">
        <w:rPr>
          <w:rFonts w:ascii="Meta Offc Pro" w:eastAsia="Times New Roman" w:hAnsi="Meta Offc Pro" w:cs="Times New Roman"/>
          <w:b/>
          <w:szCs w:val="24"/>
          <w:lang w:eastAsia="de-DE"/>
        </w:rPr>
        <w:t>Übungsfälle:</w:t>
      </w:r>
    </w:p>
    <w:p w:rsidR="0084664C" w:rsidRPr="00580E19" w:rsidRDefault="0084664C" w:rsidP="007821D5">
      <w:pPr>
        <w:rPr>
          <w:rFonts w:ascii="Meta Offc Pro" w:eastAsia="Times New Roman" w:hAnsi="Meta Offc Pro" w:cs="Times New Roman"/>
          <w:b/>
          <w:szCs w:val="24"/>
          <w:lang w:eastAsia="de-DE"/>
        </w:rPr>
      </w:pPr>
    </w:p>
    <w:p w:rsidR="0051571B" w:rsidRPr="007F756E" w:rsidRDefault="0051571B" w:rsidP="0051571B">
      <w:pPr>
        <w:pStyle w:val="Listenabsatz"/>
        <w:numPr>
          <w:ilvl w:val="0"/>
          <w:numId w:val="6"/>
        </w:numPr>
        <w:rPr>
          <w:rFonts w:ascii="Meta Offc Pro" w:hAnsi="Meta Offc Pro"/>
          <w:sz w:val="22"/>
        </w:rPr>
      </w:pPr>
      <w:r w:rsidRPr="007F756E">
        <w:rPr>
          <w:rFonts w:ascii="Meta Offc Pro" w:hAnsi="Meta Offc Pro"/>
          <w:sz w:val="22"/>
        </w:rPr>
        <w:t xml:space="preserve">Mieter M vermietet die Wohnung unberechtigterweise an den Untermieter U. Hat Vermieter V Ansprüche aus </w:t>
      </w:r>
      <w:proofErr w:type="spellStart"/>
      <w:r w:rsidRPr="007F756E">
        <w:rPr>
          <w:rFonts w:ascii="Meta Offc Pro" w:hAnsi="Meta Offc Pro"/>
          <w:sz w:val="22"/>
        </w:rPr>
        <w:t>GoA</w:t>
      </w:r>
      <w:proofErr w:type="spellEnd"/>
      <w:r w:rsidRPr="007F756E">
        <w:rPr>
          <w:rFonts w:ascii="Meta Offc Pro" w:hAnsi="Meta Offc Pro"/>
          <w:sz w:val="22"/>
        </w:rPr>
        <w:t xml:space="preserve"> gegen M?</w:t>
      </w:r>
    </w:p>
    <w:p w:rsidR="00791893" w:rsidRPr="007F756E" w:rsidRDefault="00791893" w:rsidP="00791893">
      <w:pPr>
        <w:pStyle w:val="Listenabsatz"/>
        <w:rPr>
          <w:rFonts w:ascii="Meta Offc Pro" w:hAnsi="Meta Offc Pro"/>
          <w:sz w:val="22"/>
        </w:rPr>
      </w:pPr>
    </w:p>
    <w:p w:rsidR="00791893" w:rsidRPr="007F756E" w:rsidRDefault="0051571B" w:rsidP="007A3B22">
      <w:pPr>
        <w:pStyle w:val="Listenabsatz"/>
        <w:numPr>
          <w:ilvl w:val="0"/>
          <w:numId w:val="6"/>
        </w:numPr>
        <w:rPr>
          <w:rFonts w:ascii="Meta Offc Pro" w:hAnsi="Meta Offc Pro"/>
          <w:sz w:val="22"/>
        </w:rPr>
      </w:pPr>
      <w:r w:rsidRPr="007F756E">
        <w:rPr>
          <w:rFonts w:ascii="Meta Offc Pro" w:hAnsi="Meta Offc Pro"/>
          <w:sz w:val="22"/>
        </w:rPr>
        <w:t>Der Dieb D verkauft das von ihm bei Buchhändler B gestohlene Buch zu einem deutlich über Wert liegenden Preis. Welche Ansprüche</w:t>
      </w:r>
      <w:r w:rsidR="00F16EFF">
        <w:rPr>
          <w:rFonts w:ascii="Meta Offc Pro" w:hAnsi="Meta Offc Pro"/>
          <w:sz w:val="22"/>
        </w:rPr>
        <w:t xml:space="preserve"> aus </w:t>
      </w:r>
      <w:proofErr w:type="spellStart"/>
      <w:r w:rsidR="00F16EFF">
        <w:rPr>
          <w:rFonts w:ascii="Meta Offc Pro" w:hAnsi="Meta Offc Pro"/>
          <w:sz w:val="22"/>
        </w:rPr>
        <w:t>GoA</w:t>
      </w:r>
      <w:proofErr w:type="spellEnd"/>
      <w:r w:rsidRPr="007F756E">
        <w:rPr>
          <w:rFonts w:ascii="Meta Offc Pro" w:hAnsi="Meta Offc Pro"/>
          <w:sz w:val="22"/>
        </w:rPr>
        <w:t xml:space="preserve"> hat B gegen D?</w:t>
      </w:r>
    </w:p>
    <w:p w:rsidR="00F933DC" w:rsidRPr="007F756E" w:rsidRDefault="00F933DC" w:rsidP="00791893">
      <w:pPr>
        <w:pStyle w:val="Listenabsatz"/>
        <w:rPr>
          <w:rFonts w:ascii="Meta Offc Pro" w:hAnsi="Meta Offc Pro"/>
          <w:sz w:val="22"/>
        </w:rPr>
      </w:pPr>
    </w:p>
    <w:p w:rsidR="00791893" w:rsidRPr="007F756E" w:rsidRDefault="00791893" w:rsidP="00791893">
      <w:pPr>
        <w:pStyle w:val="Listenabsatz"/>
        <w:numPr>
          <w:ilvl w:val="0"/>
          <w:numId w:val="6"/>
        </w:numPr>
        <w:rPr>
          <w:rFonts w:ascii="Meta Offc Pro" w:hAnsi="Meta Offc Pro"/>
          <w:sz w:val="22"/>
        </w:rPr>
      </w:pPr>
      <w:r w:rsidRPr="007F756E">
        <w:rPr>
          <w:rFonts w:ascii="Meta Offc Pro" w:hAnsi="Meta Offc Pro"/>
          <w:sz w:val="22"/>
        </w:rPr>
        <w:t>G war vor ein paar Tagen mit seinem Hund Bobby im Wald und wollte ihn wie üblich ein bisschen auslaufen lassen. Als er kurze Zeit später nach seinem Liebling rief, kam dieser nicht mehr zurück. Da G davon ausging, der Hund müsse einem Reh oder Hasen hinterhergejagt sein, ging er alle paar Tage wieder in den Wald und rief nach seinem Hund. Nach mehreren erfolglosen Versuchen kam eines Tages tatsächlich ein Hund angelaufen. G freute sich unheimlich und nahm ihn sofort mit nach Hause. Das Tier war völlig zerzaust und abgemagert, weshalb G den Hund säuberte und gut fütterte, damit er wieder zu Kräften komme. Wiederum ein paar Tage später bekam G Besuch von einem alten Freund. Dieser bemerkte sofort, dass der Hund eine völlig andere Farbe hatte und sprach G hierauf an. Schnell stellte sich heraus, dass es sich bei dem Hund gar nicht um Bobby handelte und dass das Ehepaar E aus der Stadt genau diesen Hund suchte, nachdem er schon vor Wochen im Wald weggerannt und nicht wiedergekommen war.</w:t>
      </w:r>
    </w:p>
    <w:p w:rsidR="00791893" w:rsidRPr="007F756E" w:rsidRDefault="00791893" w:rsidP="00791893">
      <w:pPr>
        <w:pStyle w:val="Listenabsatz"/>
        <w:rPr>
          <w:rFonts w:ascii="Meta Offc Pro" w:hAnsi="Meta Offc Pro"/>
          <w:sz w:val="22"/>
        </w:rPr>
      </w:pPr>
    </w:p>
    <w:p w:rsidR="00791893" w:rsidRPr="007F756E" w:rsidRDefault="00791893" w:rsidP="00791893">
      <w:pPr>
        <w:pStyle w:val="Listenabsatz"/>
        <w:rPr>
          <w:rFonts w:ascii="Meta Offc Pro" w:hAnsi="Meta Offc Pro"/>
          <w:sz w:val="22"/>
        </w:rPr>
      </w:pPr>
      <w:r w:rsidRPr="007F756E">
        <w:rPr>
          <w:rFonts w:ascii="Meta Offc Pro" w:hAnsi="Meta Offc Pro"/>
          <w:sz w:val="22"/>
        </w:rPr>
        <w:t>G möchte, wo er den neuen Hund nun schon abgeben muss, natürlich wenigstens Ersatz für seine Aufwendungen erhalten, denn er hat ihn ja ausgiebig gepflegt und gefüttert. Zu Recht?</w:t>
      </w:r>
    </w:p>
    <w:p w:rsidR="00791893" w:rsidRPr="007F756E" w:rsidRDefault="00791893" w:rsidP="00791893">
      <w:pPr>
        <w:pStyle w:val="Listenabsatz"/>
        <w:rPr>
          <w:rFonts w:ascii="Meta Offc Pro" w:hAnsi="Meta Offc Pro"/>
          <w:sz w:val="22"/>
        </w:rPr>
      </w:pPr>
    </w:p>
    <w:p w:rsidR="0047381A" w:rsidRDefault="00791893" w:rsidP="00C0628C">
      <w:pPr>
        <w:pStyle w:val="Listenabsatz"/>
        <w:rPr>
          <w:rFonts w:ascii="Meta Offc Pro" w:hAnsi="Meta Offc Pro"/>
          <w:sz w:val="22"/>
        </w:rPr>
      </w:pPr>
      <w:r w:rsidRPr="007F756E">
        <w:rPr>
          <w:rFonts w:ascii="Meta Offc Pro" w:hAnsi="Meta Offc Pro"/>
          <w:sz w:val="22"/>
          <w:u w:val="single"/>
        </w:rPr>
        <w:t>Anmerkung</w:t>
      </w:r>
      <w:r w:rsidRPr="007F756E">
        <w:rPr>
          <w:rFonts w:ascii="Meta Offc Pro" w:hAnsi="Meta Offc Pro"/>
          <w:sz w:val="22"/>
        </w:rPr>
        <w:t>: Es ist davon auszugehen, dass das Futter und die Pflege dem entsprachen, was bei der betreffenden Rasse gewöhnlich ist.</w:t>
      </w:r>
    </w:p>
    <w:p w:rsidR="00C0628C" w:rsidRPr="00C0628C" w:rsidRDefault="00C0628C" w:rsidP="00C0628C">
      <w:pPr>
        <w:pStyle w:val="Listenabsatz"/>
        <w:rPr>
          <w:rFonts w:ascii="Meta Offc Pro" w:hAnsi="Meta Offc Pro"/>
          <w:sz w:val="22"/>
        </w:rPr>
      </w:pPr>
    </w:p>
    <w:p w:rsidR="00610BB8" w:rsidRPr="007F756E" w:rsidRDefault="0047381A" w:rsidP="0047381A">
      <w:pPr>
        <w:pStyle w:val="Listenabsatz"/>
        <w:numPr>
          <w:ilvl w:val="0"/>
          <w:numId w:val="6"/>
        </w:numPr>
        <w:autoSpaceDE w:val="0"/>
        <w:rPr>
          <w:rFonts w:ascii="Meta Offc Pro" w:hAnsi="Meta Offc Pro"/>
          <w:sz w:val="22"/>
        </w:rPr>
      </w:pPr>
      <w:r w:rsidRPr="007F756E">
        <w:rPr>
          <w:rFonts w:ascii="Meta Offc Pro" w:hAnsi="Meta Offc Pro"/>
          <w:sz w:val="22"/>
        </w:rPr>
        <w:t xml:space="preserve">Journalist J organisiert ein Interview mit dem bekannten Schauspieler D für eine Reportage. Er macht zu diesem Zweck </w:t>
      </w:r>
      <w:r w:rsidR="00143D97">
        <w:rPr>
          <w:rFonts w:ascii="Meta Offc Pro" w:hAnsi="Meta Offc Pro"/>
          <w:sz w:val="22"/>
        </w:rPr>
        <w:t>auch einige Fotos von D. Unter a</w:t>
      </w:r>
      <w:r w:rsidRPr="007F756E">
        <w:rPr>
          <w:rFonts w:ascii="Meta Offc Pro" w:hAnsi="Meta Offc Pro"/>
          <w:sz w:val="22"/>
        </w:rPr>
        <w:t>nderem lässt D sich auf dem Motorroller des J ablichten. Dieses Foto verkauft J dann der Motorrollerfirma M für eine Reklame. J versichert gegenüber der M</w:t>
      </w:r>
      <w:r w:rsidR="00BC6F6F">
        <w:rPr>
          <w:rFonts w:ascii="Meta Offc Pro" w:hAnsi="Meta Offc Pro"/>
          <w:sz w:val="22"/>
        </w:rPr>
        <w:t xml:space="preserve"> wider besseren Wissens</w:t>
      </w:r>
      <w:bookmarkStart w:id="0" w:name="_GoBack"/>
      <w:bookmarkEnd w:id="0"/>
      <w:r w:rsidRPr="007F756E">
        <w:rPr>
          <w:rFonts w:ascii="Meta Offc Pro" w:hAnsi="Meta Offc Pro"/>
          <w:sz w:val="22"/>
        </w:rPr>
        <w:t>, D sei mit dieser Veröffentlichung einverstanden. M veröffentlicht daraufhin das Bild im Rahmen eines Inserats in mehreren Zeitschriften und erwähnt dabei auch den Namen des D.</w:t>
      </w:r>
    </w:p>
    <w:p w:rsidR="00610BB8" w:rsidRPr="007F756E" w:rsidRDefault="00610BB8" w:rsidP="00610BB8">
      <w:pPr>
        <w:pStyle w:val="Listenabsatz"/>
        <w:autoSpaceDE w:val="0"/>
        <w:rPr>
          <w:rFonts w:ascii="Meta Offc Pro" w:hAnsi="Meta Offc Pro"/>
          <w:sz w:val="22"/>
        </w:rPr>
      </w:pPr>
    </w:p>
    <w:p w:rsidR="0047381A" w:rsidRPr="007F756E" w:rsidRDefault="0047381A" w:rsidP="00610BB8">
      <w:pPr>
        <w:pStyle w:val="Listenabsatz"/>
        <w:autoSpaceDE w:val="0"/>
        <w:rPr>
          <w:rFonts w:ascii="Meta Offc Pro" w:hAnsi="Meta Offc Pro"/>
          <w:sz w:val="22"/>
        </w:rPr>
      </w:pPr>
      <w:r w:rsidRPr="007F756E">
        <w:rPr>
          <w:rFonts w:ascii="Meta Offc Pro" w:hAnsi="Meta Offc Pro"/>
          <w:sz w:val="22"/>
        </w:rPr>
        <w:t xml:space="preserve">D will wissen, ob er Ansprüche aus </w:t>
      </w:r>
      <w:proofErr w:type="spellStart"/>
      <w:r w:rsidRPr="007F756E">
        <w:rPr>
          <w:rFonts w:ascii="Meta Offc Pro" w:hAnsi="Meta Offc Pro"/>
          <w:sz w:val="22"/>
        </w:rPr>
        <w:t>GoA</w:t>
      </w:r>
      <w:proofErr w:type="spellEnd"/>
      <w:r w:rsidRPr="007F756E">
        <w:rPr>
          <w:rFonts w:ascii="Meta Offc Pro" w:hAnsi="Meta Offc Pro"/>
          <w:sz w:val="22"/>
        </w:rPr>
        <w:t xml:space="preserve"> gegen J hat. </w:t>
      </w:r>
    </w:p>
    <w:p w:rsidR="00610BB8" w:rsidRPr="007F756E" w:rsidRDefault="00610BB8" w:rsidP="00610BB8">
      <w:pPr>
        <w:pStyle w:val="Listenabsatz"/>
        <w:autoSpaceDE w:val="0"/>
        <w:rPr>
          <w:rFonts w:ascii="Meta Offc Pro" w:hAnsi="Meta Offc Pro"/>
          <w:sz w:val="22"/>
        </w:rPr>
      </w:pPr>
    </w:p>
    <w:p w:rsidR="00F933DC" w:rsidRPr="007F0528" w:rsidRDefault="0047381A" w:rsidP="007F0528">
      <w:pPr>
        <w:pStyle w:val="Listenabsatz"/>
        <w:autoSpaceDE w:val="0"/>
        <w:rPr>
          <w:rFonts w:ascii="Meta Offc Pro" w:hAnsi="Meta Offc Pro"/>
          <w:sz w:val="22"/>
        </w:rPr>
      </w:pPr>
      <w:r w:rsidRPr="007F756E">
        <w:rPr>
          <w:rFonts w:ascii="Meta Offc Pro" w:hAnsi="Meta Offc Pro"/>
          <w:sz w:val="22"/>
        </w:rPr>
        <w:t>J will wissen, ob er als Geschäftsführer Gegenansprüche geltend machen kann.</w:t>
      </w:r>
    </w:p>
    <w:sectPr w:rsidR="00F933DC" w:rsidRPr="007F052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72" w:rsidRDefault="00673272" w:rsidP="007821D5">
      <w:pPr>
        <w:spacing w:after="0"/>
      </w:pPr>
      <w:r>
        <w:separator/>
      </w:r>
    </w:p>
  </w:endnote>
  <w:endnote w:type="continuationSeparator" w:id="0">
    <w:p w:rsidR="00673272" w:rsidRDefault="00673272" w:rsidP="00782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72" w:rsidRDefault="00673272" w:rsidP="007821D5">
      <w:pPr>
        <w:spacing w:after="0"/>
      </w:pPr>
      <w:r>
        <w:separator/>
      </w:r>
    </w:p>
  </w:footnote>
  <w:footnote w:type="continuationSeparator" w:id="0">
    <w:p w:rsidR="00673272" w:rsidRDefault="00673272" w:rsidP="007821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D5" w:rsidRDefault="007821D5" w:rsidP="007821D5">
    <w:pPr>
      <w:pStyle w:val="1Fliesstext"/>
    </w:pPr>
    <w:r>
      <w:rPr>
        <w:noProof/>
      </w:rPr>
      <w:drawing>
        <wp:inline distT="0" distB="0" distL="0" distR="0" wp14:anchorId="2601FB9A" wp14:editId="351E0C60">
          <wp:extent cx="623694" cy="316281"/>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2551" cy="330915"/>
                  </a:xfrm>
                  <a:prstGeom prst="rect">
                    <a:avLst/>
                  </a:prstGeom>
                </pic:spPr>
              </pic:pic>
            </a:graphicData>
          </a:graphic>
        </wp:inline>
      </w:drawing>
    </w:r>
    <w:r>
      <w:t xml:space="preserve"> </w:t>
    </w:r>
    <w:r>
      <w:tab/>
    </w:r>
    <w:r>
      <w:tab/>
    </w:r>
    <w:r>
      <w:tab/>
    </w:r>
    <w:r>
      <w:tab/>
      <w:t xml:space="preserve">Prof. Dr. Thomas Hoeren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7CFC5358"/>
    <w:name w:val="WW8Num6"/>
    <w:lvl w:ilvl="0">
      <w:start w:val="1"/>
      <w:numFmt w:val="decimal"/>
      <w:lvlText w:val="%1."/>
      <w:lvlJc w:val="left"/>
      <w:pPr>
        <w:tabs>
          <w:tab w:val="num" w:pos="360"/>
        </w:tabs>
        <w:ind w:left="360" w:hanging="360"/>
      </w:pPr>
      <w:rPr>
        <w:rFonts w:hint="default"/>
        <w:b/>
        <w:color w:val="auto"/>
        <w:sz w:val="20"/>
        <w:szCs w:val="20"/>
      </w:rPr>
    </w:lvl>
  </w:abstractNum>
  <w:abstractNum w:abstractNumId="1" w15:restartNumberingAfterBreak="0">
    <w:nsid w:val="09507F65"/>
    <w:multiLevelType w:val="hybridMultilevel"/>
    <w:tmpl w:val="F76EC01C"/>
    <w:lvl w:ilvl="0" w:tplc="F7D2F580">
      <w:start w:val="1"/>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C2A61"/>
    <w:multiLevelType w:val="hybridMultilevel"/>
    <w:tmpl w:val="B526FC38"/>
    <w:lvl w:ilvl="0" w:tplc="075A678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9D193D"/>
    <w:multiLevelType w:val="hybridMultilevel"/>
    <w:tmpl w:val="6FFEF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8C70B9"/>
    <w:multiLevelType w:val="hybridMultilevel"/>
    <w:tmpl w:val="12406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AC19F8"/>
    <w:multiLevelType w:val="hybridMultilevel"/>
    <w:tmpl w:val="F0768578"/>
    <w:lvl w:ilvl="0" w:tplc="6810AD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8C6487"/>
    <w:multiLevelType w:val="hybridMultilevel"/>
    <w:tmpl w:val="B950D812"/>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5"/>
    <w:rsid w:val="00000454"/>
    <w:rsid w:val="0004379C"/>
    <w:rsid w:val="00050CCE"/>
    <w:rsid w:val="000B2688"/>
    <w:rsid w:val="001066BC"/>
    <w:rsid w:val="00142931"/>
    <w:rsid w:val="00143D97"/>
    <w:rsid w:val="001A75D2"/>
    <w:rsid w:val="00232892"/>
    <w:rsid w:val="00240E42"/>
    <w:rsid w:val="00245054"/>
    <w:rsid w:val="002A1392"/>
    <w:rsid w:val="00322FBA"/>
    <w:rsid w:val="00353DEB"/>
    <w:rsid w:val="0047381A"/>
    <w:rsid w:val="00485FFF"/>
    <w:rsid w:val="00496A07"/>
    <w:rsid w:val="004A70E7"/>
    <w:rsid w:val="004A7355"/>
    <w:rsid w:val="00501DBB"/>
    <w:rsid w:val="0051571B"/>
    <w:rsid w:val="00520A77"/>
    <w:rsid w:val="00526D4A"/>
    <w:rsid w:val="00580E19"/>
    <w:rsid w:val="0058449D"/>
    <w:rsid w:val="005A2D34"/>
    <w:rsid w:val="00610BB8"/>
    <w:rsid w:val="00673272"/>
    <w:rsid w:val="0068575E"/>
    <w:rsid w:val="006F7519"/>
    <w:rsid w:val="00754D1E"/>
    <w:rsid w:val="00761213"/>
    <w:rsid w:val="00773CEC"/>
    <w:rsid w:val="007821D5"/>
    <w:rsid w:val="00791893"/>
    <w:rsid w:val="007B63B0"/>
    <w:rsid w:val="007C7F89"/>
    <w:rsid w:val="007E1EC5"/>
    <w:rsid w:val="007F0528"/>
    <w:rsid w:val="007F756E"/>
    <w:rsid w:val="0084664C"/>
    <w:rsid w:val="00874E08"/>
    <w:rsid w:val="00887E26"/>
    <w:rsid w:val="008F4683"/>
    <w:rsid w:val="008F5BC9"/>
    <w:rsid w:val="00917A1E"/>
    <w:rsid w:val="00A213A7"/>
    <w:rsid w:val="00B37D8B"/>
    <w:rsid w:val="00BA58B0"/>
    <w:rsid w:val="00BC6F6F"/>
    <w:rsid w:val="00C0628C"/>
    <w:rsid w:val="00C166B3"/>
    <w:rsid w:val="00C22F81"/>
    <w:rsid w:val="00C67823"/>
    <w:rsid w:val="00C71981"/>
    <w:rsid w:val="00C72828"/>
    <w:rsid w:val="00D54187"/>
    <w:rsid w:val="00D55074"/>
    <w:rsid w:val="00DC4A12"/>
    <w:rsid w:val="00E344D9"/>
    <w:rsid w:val="00F16EFF"/>
    <w:rsid w:val="00F21D1A"/>
    <w:rsid w:val="00F3683A"/>
    <w:rsid w:val="00F93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68BB"/>
  <w15:chartTrackingRefBased/>
  <w15:docId w15:val="{F631662C-237C-48B8-877E-B0ECE1D9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1D5"/>
    <w:pPr>
      <w:spacing w:after="240" w:line="24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21D5"/>
    <w:pPr>
      <w:tabs>
        <w:tab w:val="center" w:pos="4536"/>
        <w:tab w:val="right" w:pos="9072"/>
      </w:tabs>
      <w:spacing w:after="0"/>
    </w:pPr>
  </w:style>
  <w:style w:type="character" w:customStyle="1" w:styleId="KopfzeileZchn">
    <w:name w:val="Kopfzeile Zchn"/>
    <w:basedOn w:val="Absatz-Standardschriftart"/>
    <w:link w:val="Kopfzeile"/>
    <w:uiPriority w:val="99"/>
    <w:rsid w:val="007821D5"/>
    <w:rPr>
      <w:rFonts w:ascii="Times New Roman" w:hAnsi="Times New Roman"/>
      <w:sz w:val="24"/>
    </w:rPr>
  </w:style>
  <w:style w:type="paragraph" w:styleId="Fuzeile">
    <w:name w:val="footer"/>
    <w:basedOn w:val="Standard"/>
    <w:link w:val="FuzeileZchn"/>
    <w:uiPriority w:val="99"/>
    <w:unhideWhenUsed/>
    <w:rsid w:val="007821D5"/>
    <w:pPr>
      <w:tabs>
        <w:tab w:val="center" w:pos="4536"/>
        <w:tab w:val="right" w:pos="9072"/>
      </w:tabs>
      <w:spacing w:after="0"/>
    </w:pPr>
  </w:style>
  <w:style w:type="character" w:customStyle="1" w:styleId="FuzeileZchn">
    <w:name w:val="Fußzeile Zchn"/>
    <w:basedOn w:val="Absatz-Standardschriftart"/>
    <w:link w:val="Fuzeile"/>
    <w:uiPriority w:val="99"/>
    <w:rsid w:val="007821D5"/>
    <w:rPr>
      <w:rFonts w:ascii="Times New Roman" w:hAnsi="Times New Roman"/>
      <w:sz w:val="24"/>
    </w:rPr>
  </w:style>
  <w:style w:type="paragraph" w:customStyle="1" w:styleId="1Fliesstext">
    <w:name w:val="1. Fliesstext"/>
    <w:basedOn w:val="Standard"/>
    <w:qFormat/>
    <w:rsid w:val="007821D5"/>
    <w:pPr>
      <w:autoSpaceDE w:val="0"/>
      <w:autoSpaceDN w:val="0"/>
      <w:adjustRightInd w:val="0"/>
      <w:spacing w:before="120" w:after="120"/>
    </w:pPr>
    <w:rPr>
      <w:rFonts w:ascii="Meta Offc Pro" w:eastAsia="Times New Roman" w:hAnsi="Meta Offc Pro" w:cs="Times New Roman"/>
      <w:sz w:val="20"/>
      <w:szCs w:val="20"/>
      <w:lang w:eastAsia="de-DE"/>
    </w:rPr>
  </w:style>
  <w:style w:type="paragraph" w:styleId="Listenabsatz">
    <w:name w:val="List Paragraph"/>
    <w:basedOn w:val="Standard"/>
    <w:uiPriority w:val="34"/>
    <w:qFormat/>
    <w:rsid w:val="0091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C00E-3B31-4462-B9EE-3A22AFB7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Merbecks, Aurelia</dc:creator>
  <cp:keywords/>
  <dc:description/>
  <cp:lastModifiedBy>Johannsen, Jonah Leander</cp:lastModifiedBy>
  <cp:revision>42</cp:revision>
  <dcterms:created xsi:type="dcterms:W3CDTF">2021-08-16T14:27:00Z</dcterms:created>
  <dcterms:modified xsi:type="dcterms:W3CDTF">2021-12-14T17:49:00Z</dcterms:modified>
</cp:coreProperties>
</file>