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6F2" w:rsidRDefault="006016F2" w:rsidP="00F45D58">
      <w:pPr>
        <w:tabs>
          <w:tab w:val="center" w:pos="-1134"/>
          <w:tab w:val="left" w:pos="4190"/>
        </w:tabs>
        <w:jc w:val="both"/>
        <w:rPr>
          <w:rFonts w:asciiTheme="minorHAnsi" w:hAnsiTheme="minorHAnsi"/>
          <w:b/>
          <w:noProof/>
          <w:lang w:val="de-DE"/>
        </w:rPr>
      </w:pPr>
      <w:bookmarkStart w:id="0" w:name="_GoBack"/>
      <w:bookmarkEnd w:id="0"/>
    </w:p>
    <w:p w:rsidR="006016F2" w:rsidRPr="00F45D58" w:rsidRDefault="006016F2" w:rsidP="00F45D58">
      <w:pPr>
        <w:tabs>
          <w:tab w:val="center" w:pos="-1134"/>
          <w:tab w:val="left" w:pos="4190"/>
        </w:tabs>
        <w:jc w:val="center"/>
        <w:rPr>
          <w:b/>
          <w:noProof/>
          <w:sz w:val="26"/>
          <w:szCs w:val="26"/>
          <w:lang w:val="de-DE"/>
        </w:rPr>
      </w:pPr>
      <w:r w:rsidRPr="00F45D58">
        <w:rPr>
          <w:b/>
          <w:noProof/>
          <w:sz w:val="26"/>
          <w:szCs w:val="26"/>
          <w:lang w:val="de-DE"/>
        </w:rPr>
        <w:t>Vorlesung Urheberrecht</w:t>
      </w:r>
    </w:p>
    <w:p w:rsidR="006016F2" w:rsidRDefault="006016F2" w:rsidP="00F45D58">
      <w:pPr>
        <w:tabs>
          <w:tab w:val="center" w:pos="-1134"/>
          <w:tab w:val="left" w:pos="4190"/>
        </w:tabs>
        <w:jc w:val="center"/>
        <w:rPr>
          <w:b/>
          <w:noProof/>
          <w:sz w:val="26"/>
          <w:szCs w:val="26"/>
          <w:lang w:val="de-DE"/>
        </w:rPr>
      </w:pPr>
      <w:r w:rsidRPr="00F45D58">
        <w:rPr>
          <w:b/>
          <w:noProof/>
          <w:sz w:val="26"/>
          <w:szCs w:val="26"/>
          <w:lang w:val="de-DE"/>
        </w:rPr>
        <w:t xml:space="preserve">Sommersemester </w:t>
      </w:r>
      <w:r w:rsidR="00F45D58">
        <w:rPr>
          <w:b/>
          <w:noProof/>
          <w:sz w:val="26"/>
          <w:szCs w:val="26"/>
          <w:lang w:val="de-DE"/>
        </w:rPr>
        <w:t>2020</w:t>
      </w:r>
    </w:p>
    <w:p w:rsidR="006016F2" w:rsidRPr="00F45D58" w:rsidRDefault="006016F2" w:rsidP="00F45D58">
      <w:pPr>
        <w:tabs>
          <w:tab w:val="center" w:pos="-1134"/>
          <w:tab w:val="left" w:pos="4190"/>
        </w:tabs>
        <w:jc w:val="center"/>
        <w:rPr>
          <w:b/>
          <w:noProof/>
          <w:sz w:val="26"/>
          <w:szCs w:val="26"/>
          <w:lang w:val="de-DE"/>
        </w:rPr>
      </w:pPr>
    </w:p>
    <w:p w:rsidR="00DB488F" w:rsidRPr="00F45D58" w:rsidRDefault="00DB488F" w:rsidP="00F45D58">
      <w:pPr>
        <w:tabs>
          <w:tab w:val="center" w:pos="-1134"/>
          <w:tab w:val="left" w:pos="4190"/>
        </w:tabs>
        <w:jc w:val="both"/>
        <w:rPr>
          <w:noProof/>
          <w:sz w:val="22"/>
          <w:szCs w:val="22"/>
          <w:u w:val="single"/>
          <w:lang w:val="de-DE"/>
        </w:rPr>
      </w:pPr>
      <w:r w:rsidRPr="00F45D58">
        <w:rPr>
          <w:b/>
          <w:noProof/>
          <w:sz w:val="22"/>
          <w:szCs w:val="22"/>
          <w:lang w:val="de-DE"/>
        </w:rPr>
        <w:t xml:space="preserve">Arbeitspapier Nr. 16: Gründzüge des </w:t>
      </w:r>
      <w:r w:rsidR="004413D5" w:rsidRPr="00F45D58">
        <w:rPr>
          <w:b/>
          <w:noProof/>
          <w:sz w:val="22"/>
          <w:szCs w:val="22"/>
          <w:lang w:val="de-DE"/>
        </w:rPr>
        <w:t>Design</w:t>
      </w:r>
      <w:r w:rsidRPr="00F45D58">
        <w:rPr>
          <w:b/>
          <w:noProof/>
          <w:sz w:val="22"/>
          <w:szCs w:val="22"/>
          <w:lang w:val="de-DE"/>
        </w:rPr>
        <w:t>rechts</w:t>
      </w:r>
    </w:p>
    <w:p w:rsidR="00427D5B" w:rsidRPr="00F45D58" w:rsidRDefault="00DB488F" w:rsidP="001C1E19">
      <w:pPr>
        <w:pStyle w:val="Listenabsatz"/>
        <w:widowControl/>
        <w:numPr>
          <w:ilvl w:val="0"/>
          <w:numId w:val="2"/>
        </w:numPr>
        <w:autoSpaceDE/>
        <w:autoSpaceDN/>
        <w:adjustRightInd/>
        <w:spacing w:before="100" w:beforeAutospacing="1" w:after="100" w:afterAutospacing="1"/>
        <w:ind w:left="851" w:hanging="491"/>
        <w:jc w:val="both"/>
        <w:rPr>
          <w:b/>
          <w:noProof/>
          <w:sz w:val="22"/>
          <w:szCs w:val="22"/>
          <w:lang w:val="de-DE"/>
        </w:rPr>
      </w:pPr>
      <w:r w:rsidRPr="00F45D58">
        <w:rPr>
          <w:b/>
          <w:noProof/>
          <w:sz w:val="22"/>
          <w:szCs w:val="22"/>
          <w:u w:val="single"/>
          <w:lang w:val="de-DE"/>
        </w:rPr>
        <w:t>Vertiefungshinweise</w:t>
      </w:r>
      <w:r w:rsidRPr="00F45D58">
        <w:rPr>
          <w:b/>
          <w:noProof/>
          <w:sz w:val="22"/>
          <w:szCs w:val="22"/>
          <w:lang w:val="de-DE"/>
        </w:rPr>
        <w:t>:</w:t>
      </w:r>
    </w:p>
    <w:p w:rsidR="00427D5B" w:rsidRPr="00F45D58" w:rsidRDefault="00427D5B" w:rsidP="001C1E19">
      <w:pPr>
        <w:pStyle w:val="Listenabsatz"/>
        <w:widowControl/>
        <w:autoSpaceDE/>
        <w:autoSpaceDN/>
        <w:adjustRightInd/>
        <w:spacing w:before="100" w:beforeAutospacing="1" w:after="100" w:afterAutospacing="1"/>
        <w:ind w:left="1080"/>
        <w:jc w:val="both"/>
        <w:rPr>
          <w:b/>
          <w:noProof/>
          <w:sz w:val="22"/>
          <w:szCs w:val="22"/>
          <w:u w:val="single"/>
          <w:lang w:val="de-DE"/>
        </w:rPr>
      </w:pPr>
    </w:p>
    <w:p w:rsidR="00DB488F" w:rsidRPr="00F45D58" w:rsidRDefault="004413D5" w:rsidP="00F45D58">
      <w:pPr>
        <w:pStyle w:val="Listenabsatz"/>
        <w:widowControl/>
        <w:pBdr>
          <w:top w:val="single" w:sz="4" w:space="1" w:color="auto"/>
          <w:left w:val="single" w:sz="4" w:space="4" w:color="auto"/>
          <w:bottom w:val="single" w:sz="4" w:space="1" w:color="auto"/>
          <w:right w:val="single" w:sz="4" w:space="4" w:color="auto"/>
        </w:pBdr>
        <w:autoSpaceDE/>
        <w:autoSpaceDN/>
        <w:adjustRightInd/>
        <w:spacing w:before="100" w:beforeAutospacing="1" w:after="100" w:afterAutospacing="1"/>
        <w:ind w:left="851"/>
        <w:jc w:val="both"/>
        <w:rPr>
          <w:sz w:val="20"/>
          <w:szCs w:val="22"/>
          <w:lang w:val="de-DE"/>
        </w:rPr>
      </w:pPr>
      <w:proofErr w:type="spellStart"/>
      <w:r w:rsidRPr="00F45D58">
        <w:rPr>
          <w:rStyle w:val="bfdesc"/>
          <w:i/>
          <w:sz w:val="20"/>
          <w:szCs w:val="22"/>
          <w:lang w:val="de-DE"/>
        </w:rPr>
        <w:t>Kappl</w:t>
      </w:r>
      <w:proofErr w:type="spellEnd"/>
      <w:r w:rsidR="000D6FE8" w:rsidRPr="00F45D58">
        <w:rPr>
          <w:rStyle w:val="bfdesc"/>
          <w:i/>
          <w:sz w:val="20"/>
          <w:szCs w:val="22"/>
          <w:lang w:val="de-DE"/>
        </w:rPr>
        <w:t>,</w:t>
      </w:r>
      <w:r w:rsidRPr="00F45D58">
        <w:rPr>
          <w:rStyle w:val="bfdesc"/>
          <w:sz w:val="20"/>
          <w:szCs w:val="22"/>
          <w:lang w:val="de-DE"/>
        </w:rPr>
        <w:t xml:space="preserve"> Vom Geschmacksmuster zum eingetragenen Design. Das neue </w:t>
      </w:r>
      <w:bookmarkStart w:id="1" w:name="xhlhit"/>
      <w:bookmarkEnd w:id="1"/>
      <w:r w:rsidRPr="00F45D58">
        <w:rPr>
          <w:rStyle w:val="highlight"/>
          <w:sz w:val="20"/>
          <w:szCs w:val="22"/>
          <w:lang w:val="de-DE"/>
        </w:rPr>
        <w:t>Designrecht</w:t>
      </w:r>
      <w:r w:rsidRPr="00F45D58">
        <w:rPr>
          <w:rStyle w:val="bfdesc"/>
          <w:sz w:val="20"/>
          <w:szCs w:val="22"/>
          <w:lang w:val="de-DE"/>
        </w:rPr>
        <w:t xml:space="preserve"> und das Nichtigkeitsverfahren vor dem DPMA, GRUR 2014, 326; </w:t>
      </w:r>
      <w:r w:rsidRPr="00F45D58">
        <w:rPr>
          <w:rStyle w:val="bfdesc"/>
          <w:i/>
          <w:sz w:val="20"/>
          <w:szCs w:val="22"/>
          <w:lang w:val="de-DE"/>
        </w:rPr>
        <w:t>Beyerlein</w:t>
      </w:r>
      <w:r w:rsidR="000D6FE8" w:rsidRPr="00F45D58">
        <w:rPr>
          <w:rStyle w:val="bfdesc"/>
          <w:i/>
          <w:sz w:val="20"/>
          <w:szCs w:val="22"/>
          <w:lang w:val="de-DE"/>
        </w:rPr>
        <w:t>,</w:t>
      </w:r>
      <w:r w:rsidRPr="00F45D58">
        <w:rPr>
          <w:rStyle w:val="bfdesc"/>
          <w:sz w:val="20"/>
          <w:szCs w:val="22"/>
          <w:lang w:val="de-DE"/>
        </w:rPr>
        <w:t xml:space="preserve"> Aktuelle Entwicklungen im </w:t>
      </w:r>
      <w:r w:rsidRPr="00F45D58">
        <w:rPr>
          <w:rStyle w:val="highlight"/>
          <w:sz w:val="20"/>
          <w:szCs w:val="22"/>
          <w:lang w:val="de-DE"/>
        </w:rPr>
        <w:t>Designrecht</w:t>
      </w:r>
      <w:r w:rsidRPr="00F45D58">
        <w:rPr>
          <w:rStyle w:val="bfdesc"/>
          <w:sz w:val="20"/>
          <w:szCs w:val="22"/>
          <w:lang w:val="de-DE"/>
        </w:rPr>
        <w:t xml:space="preserve"> 2013/2014, </w:t>
      </w:r>
      <w:proofErr w:type="spellStart"/>
      <w:r w:rsidRPr="00F45D58">
        <w:rPr>
          <w:sz w:val="20"/>
          <w:szCs w:val="22"/>
          <w:lang w:val="de-DE"/>
        </w:rPr>
        <w:t>MittdtPatA</w:t>
      </w:r>
      <w:proofErr w:type="spellEnd"/>
      <w:r w:rsidRPr="00F45D58">
        <w:rPr>
          <w:sz w:val="20"/>
          <w:szCs w:val="22"/>
          <w:lang w:val="de-DE"/>
        </w:rPr>
        <w:t xml:space="preserve"> 2014, 114; </w:t>
      </w:r>
      <w:proofErr w:type="spellStart"/>
      <w:r w:rsidRPr="00AC420A">
        <w:rPr>
          <w:rStyle w:val="bfdesc"/>
          <w:szCs w:val="22"/>
          <w:lang w:val="de-DE"/>
        </w:rPr>
        <w:t>Ohly</w:t>
      </w:r>
      <w:proofErr w:type="spellEnd"/>
      <w:r w:rsidRPr="00AC420A">
        <w:rPr>
          <w:rStyle w:val="bfdesc"/>
          <w:lang w:val="de-DE"/>
        </w:rPr>
        <w:t>,</w:t>
      </w:r>
      <w:r w:rsidRPr="00F45D58">
        <w:rPr>
          <w:sz w:val="20"/>
          <w:szCs w:val="22"/>
          <w:lang w:val="de-DE"/>
        </w:rPr>
        <w:t xml:space="preserve"> </w:t>
      </w:r>
      <w:r w:rsidRPr="00F45D58">
        <w:rPr>
          <w:rStyle w:val="titel"/>
          <w:sz w:val="20"/>
          <w:szCs w:val="22"/>
          <w:lang w:val="de-DE"/>
        </w:rPr>
        <w:t>Designschutz im Spannungsfeld von Geschmacksmuster-, Kennzeichen- und Lauterkeitsrecht, GRUR 2007, 731.</w:t>
      </w:r>
    </w:p>
    <w:p w:rsidR="00DB488F" w:rsidRPr="00F45D58" w:rsidRDefault="00DB488F" w:rsidP="001C1E19">
      <w:pPr>
        <w:jc w:val="both"/>
        <w:rPr>
          <w:b/>
          <w:sz w:val="22"/>
          <w:szCs w:val="22"/>
          <w:u w:val="single"/>
          <w:lang w:val="de-DE"/>
        </w:rPr>
      </w:pPr>
    </w:p>
    <w:p w:rsidR="00DB488F" w:rsidRPr="00F45D58" w:rsidRDefault="00DB488F" w:rsidP="001C1E19">
      <w:pPr>
        <w:pStyle w:val="Listenabsatz"/>
        <w:numPr>
          <w:ilvl w:val="0"/>
          <w:numId w:val="2"/>
        </w:numPr>
        <w:ind w:left="851" w:hanging="491"/>
        <w:jc w:val="both"/>
        <w:rPr>
          <w:b/>
          <w:sz w:val="22"/>
          <w:szCs w:val="22"/>
          <w:lang w:val="de-DE"/>
        </w:rPr>
      </w:pPr>
      <w:r w:rsidRPr="00F45D58">
        <w:rPr>
          <w:b/>
          <w:sz w:val="22"/>
          <w:szCs w:val="22"/>
          <w:u w:val="single"/>
          <w:lang w:val="de-DE"/>
        </w:rPr>
        <w:t>Hinweise</w:t>
      </w:r>
      <w:r w:rsidRPr="00F45D58">
        <w:rPr>
          <w:b/>
          <w:sz w:val="22"/>
          <w:szCs w:val="22"/>
          <w:lang w:val="de-DE"/>
        </w:rPr>
        <w:t xml:space="preserve">: </w:t>
      </w:r>
    </w:p>
    <w:p w:rsidR="008D757A" w:rsidRPr="00F45D58" w:rsidRDefault="008D757A" w:rsidP="001C1E19">
      <w:pPr>
        <w:pStyle w:val="Listenabsatz"/>
        <w:ind w:left="1080"/>
        <w:jc w:val="both"/>
        <w:rPr>
          <w:b/>
          <w:sz w:val="22"/>
          <w:szCs w:val="22"/>
          <w:lang w:val="de-DE"/>
        </w:rPr>
      </w:pPr>
    </w:p>
    <w:p w:rsidR="00DB488F" w:rsidRPr="00F45D58" w:rsidRDefault="00DB488F" w:rsidP="001C1E19">
      <w:pPr>
        <w:pStyle w:val="Listenabsatz"/>
        <w:numPr>
          <w:ilvl w:val="0"/>
          <w:numId w:val="4"/>
        </w:numPr>
        <w:ind w:left="851" w:hanging="491"/>
        <w:jc w:val="both"/>
        <w:rPr>
          <w:sz w:val="22"/>
          <w:szCs w:val="22"/>
          <w:lang w:val="de-DE"/>
        </w:rPr>
      </w:pPr>
      <w:r w:rsidRPr="00F45D58">
        <w:rPr>
          <w:sz w:val="22"/>
          <w:szCs w:val="22"/>
          <w:lang w:val="de-DE"/>
        </w:rPr>
        <w:t xml:space="preserve">Im bisherigen Geschmacksmustergesetz war keine Begriffsbestimmung des Geschmacksmusters enthalten. Nach der Rechtsprechung war hierunter eine Gestaltung zu verstehen, die bestimmt und geeignet ist, das geschmackliche Empfinden des Betrachters anzusprechen. In der </w:t>
      </w:r>
      <w:r w:rsidRPr="00F45D58">
        <w:rPr>
          <w:sz w:val="22"/>
          <w:szCs w:val="22"/>
          <w:u w:val="single"/>
          <w:lang w:val="de-DE"/>
        </w:rPr>
        <w:t>neuen Bestimmung</w:t>
      </w:r>
      <w:r w:rsidRPr="00F45D58">
        <w:rPr>
          <w:sz w:val="22"/>
          <w:szCs w:val="22"/>
          <w:lang w:val="de-DE"/>
        </w:rPr>
        <w:t xml:space="preserve"> des § 1 Nr. 1 </w:t>
      </w:r>
      <w:proofErr w:type="spellStart"/>
      <w:r w:rsidR="004413D5" w:rsidRPr="00F45D58">
        <w:rPr>
          <w:sz w:val="22"/>
          <w:szCs w:val="22"/>
          <w:lang w:val="de-DE"/>
        </w:rPr>
        <w:t>Design</w:t>
      </w:r>
      <w:r w:rsidRPr="00F45D58">
        <w:rPr>
          <w:sz w:val="22"/>
          <w:szCs w:val="22"/>
          <w:lang w:val="de-DE"/>
        </w:rPr>
        <w:t>G</w:t>
      </w:r>
      <w:proofErr w:type="spellEnd"/>
      <w:r w:rsidRPr="00F45D58">
        <w:rPr>
          <w:sz w:val="22"/>
          <w:szCs w:val="22"/>
          <w:lang w:val="de-DE"/>
        </w:rPr>
        <w:t xml:space="preserve"> ist nunmehr geregelt, dass ein Geschmacksmuster die </w:t>
      </w:r>
      <w:r w:rsidRPr="00F45D58">
        <w:rPr>
          <w:sz w:val="22"/>
          <w:szCs w:val="22"/>
          <w:u w:val="single"/>
          <w:lang w:val="de-DE"/>
        </w:rPr>
        <w:t>zweidimensionale oder dreidimensionale Erscheinungsform</w:t>
      </w:r>
      <w:r w:rsidRPr="00F45D58">
        <w:rPr>
          <w:sz w:val="22"/>
          <w:szCs w:val="22"/>
          <w:lang w:val="de-DE"/>
        </w:rPr>
        <w:t xml:space="preserve"> eines ganzen Erzeugnisses oder eines Teiles davon ist, die sich insbesondere aus den Merkmalen der Linien, Konturen, Farben, der Gestalt, Oberflächenstruktur oder der Werkstoffe des Erzeugnisses selbst oder seiner Verzierungen ergibt. Die Aufzählung hat keinen abschließenden Charakter, sie ist nur beispielhaft.</w:t>
      </w:r>
    </w:p>
    <w:p w:rsidR="008D757A" w:rsidRPr="00F45D58" w:rsidRDefault="008D757A" w:rsidP="001C1E19">
      <w:pPr>
        <w:pStyle w:val="Listenabsatz"/>
        <w:ind w:left="851" w:hanging="491"/>
        <w:jc w:val="both"/>
        <w:rPr>
          <w:sz w:val="22"/>
          <w:szCs w:val="22"/>
          <w:lang w:val="de-DE"/>
        </w:rPr>
      </w:pPr>
    </w:p>
    <w:p w:rsidR="00DB488F" w:rsidRPr="00F45D58" w:rsidRDefault="00DB488F" w:rsidP="001C1E19">
      <w:pPr>
        <w:ind w:left="851" w:hanging="491"/>
        <w:jc w:val="both"/>
        <w:rPr>
          <w:sz w:val="22"/>
          <w:szCs w:val="22"/>
          <w:lang w:val="de-DE"/>
        </w:rPr>
      </w:pPr>
    </w:p>
    <w:p w:rsidR="00DB488F" w:rsidRPr="00F45D58" w:rsidRDefault="00DB488F" w:rsidP="001C1E19">
      <w:pPr>
        <w:pStyle w:val="Listenabsatz"/>
        <w:numPr>
          <w:ilvl w:val="0"/>
          <w:numId w:val="4"/>
        </w:numPr>
        <w:ind w:left="851" w:hanging="491"/>
        <w:jc w:val="both"/>
        <w:rPr>
          <w:sz w:val="22"/>
          <w:szCs w:val="22"/>
          <w:lang w:val="de-DE"/>
        </w:rPr>
      </w:pPr>
      <w:r w:rsidRPr="00F45D58">
        <w:rPr>
          <w:sz w:val="22"/>
          <w:szCs w:val="22"/>
          <w:lang w:val="de-DE"/>
        </w:rPr>
        <w:t xml:space="preserve">Schutz erfährt die zweidimensionale oder dreidimensionale Erscheinungsform eines ganzen Erzeugnisses oder eines Teiles nur, wenn sie </w:t>
      </w:r>
      <w:r w:rsidRPr="00F45D58">
        <w:rPr>
          <w:sz w:val="22"/>
          <w:szCs w:val="22"/>
          <w:u w:val="single"/>
          <w:lang w:val="de-DE"/>
        </w:rPr>
        <w:t>neu</w:t>
      </w:r>
      <w:r w:rsidR="00163140" w:rsidRPr="00F45D58">
        <w:rPr>
          <w:sz w:val="22"/>
          <w:szCs w:val="22"/>
          <w:lang w:val="de-DE"/>
        </w:rPr>
        <w:t xml:space="preserve"> </w:t>
      </w:r>
      <w:r w:rsidRPr="00F45D58">
        <w:rPr>
          <w:sz w:val="22"/>
          <w:szCs w:val="22"/>
          <w:lang w:val="de-DE"/>
        </w:rPr>
        <w:t xml:space="preserve">ist und auf einer </w:t>
      </w:r>
      <w:r w:rsidRPr="00F45D58">
        <w:rPr>
          <w:sz w:val="22"/>
          <w:szCs w:val="22"/>
          <w:u w:val="single"/>
          <w:lang w:val="de-DE"/>
        </w:rPr>
        <w:t>Eigenart</w:t>
      </w:r>
      <w:r w:rsidR="00163140" w:rsidRPr="00F45D58">
        <w:rPr>
          <w:sz w:val="22"/>
          <w:szCs w:val="22"/>
          <w:u w:val="single"/>
          <w:lang w:val="de-DE"/>
        </w:rPr>
        <w:t xml:space="preserve"> </w:t>
      </w:r>
      <w:r w:rsidRPr="00F45D58">
        <w:rPr>
          <w:sz w:val="22"/>
          <w:szCs w:val="22"/>
          <w:lang w:val="de-DE"/>
        </w:rPr>
        <w:t xml:space="preserve">beruht. </w:t>
      </w:r>
    </w:p>
    <w:p w:rsidR="00163140" w:rsidRPr="00F45D58" w:rsidRDefault="00163140" w:rsidP="00F45D58">
      <w:pPr>
        <w:jc w:val="both"/>
        <w:rPr>
          <w:sz w:val="22"/>
          <w:szCs w:val="22"/>
          <w:lang w:val="de-DE"/>
        </w:rPr>
      </w:pPr>
    </w:p>
    <w:p w:rsidR="000D6FE8" w:rsidRPr="00F45D58" w:rsidRDefault="00DB488F" w:rsidP="001C1E19">
      <w:pPr>
        <w:pStyle w:val="Listenabsatz"/>
        <w:numPr>
          <w:ilvl w:val="0"/>
          <w:numId w:val="5"/>
        </w:numPr>
        <w:ind w:left="851" w:hanging="491"/>
        <w:jc w:val="both"/>
        <w:rPr>
          <w:sz w:val="22"/>
          <w:szCs w:val="22"/>
          <w:lang w:val="de-DE"/>
        </w:rPr>
      </w:pPr>
      <w:r w:rsidRPr="00F45D58">
        <w:rPr>
          <w:sz w:val="22"/>
          <w:szCs w:val="22"/>
          <w:lang w:val="de-DE"/>
        </w:rPr>
        <w:t xml:space="preserve">Die </w:t>
      </w:r>
      <w:r w:rsidRPr="00F45D58">
        <w:rPr>
          <w:sz w:val="22"/>
          <w:szCs w:val="22"/>
          <w:u w:val="single"/>
          <w:lang w:val="de-DE"/>
        </w:rPr>
        <w:t>Neuheit</w:t>
      </w:r>
      <w:r w:rsidRPr="00F45D58">
        <w:rPr>
          <w:sz w:val="22"/>
          <w:szCs w:val="22"/>
          <w:lang w:val="de-DE"/>
        </w:rPr>
        <w:t xml:space="preserve"> bestimmt sich nach § 2 Abs. 2 </w:t>
      </w:r>
      <w:proofErr w:type="spellStart"/>
      <w:r w:rsidR="004413D5" w:rsidRPr="00F45D58">
        <w:rPr>
          <w:sz w:val="22"/>
          <w:szCs w:val="22"/>
          <w:lang w:val="de-DE"/>
        </w:rPr>
        <w:t>DesignG</w:t>
      </w:r>
      <w:proofErr w:type="spellEnd"/>
      <w:r w:rsidRPr="00F45D58">
        <w:rPr>
          <w:sz w:val="22"/>
          <w:szCs w:val="22"/>
          <w:lang w:val="de-DE"/>
        </w:rPr>
        <w:t xml:space="preserve">. Ein </w:t>
      </w:r>
      <w:r w:rsidR="004413D5" w:rsidRPr="00F45D58">
        <w:rPr>
          <w:sz w:val="22"/>
          <w:szCs w:val="22"/>
          <w:lang w:val="de-DE"/>
        </w:rPr>
        <w:t>Design</w:t>
      </w:r>
      <w:r w:rsidRPr="00F45D58">
        <w:rPr>
          <w:sz w:val="22"/>
          <w:szCs w:val="22"/>
          <w:lang w:val="de-DE"/>
        </w:rPr>
        <w:t xml:space="preserve"> ist danach als neu anzusehen, wenn vor dem Anmeldetag </w:t>
      </w:r>
      <w:r w:rsidRPr="00F45D58">
        <w:rPr>
          <w:sz w:val="22"/>
          <w:szCs w:val="22"/>
          <w:u w:val="single"/>
          <w:lang w:val="de-DE"/>
        </w:rPr>
        <w:t xml:space="preserve">kein identisches </w:t>
      </w:r>
      <w:r w:rsidR="004413D5" w:rsidRPr="00F45D58">
        <w:rPr>
          <w:sz w:val="22"/>
          <w:szCs w:val="22"/>
          <w:u w:val="single"/>
          <w:lang w:val="de-DE"/>
        </w:rPr>
        <w:t>Design</w:t>
      </w:r>
      <w:r w:rsidRPr="00F45D58">
        <w:rPr>
          <w:sz w:val="22"/>
          <w:szCs w:val="22"/>
          <w:u w:val="single"/>
          <w:lang w:val="de-DE"/>
        </w:rPr>
        <w:t xml:space="preserve"> offenbart</w:t>
      </w:r>
      <w:r w:rsidRPr="00F45D58">
        <w:rPr>
          <w:sz w:val="22"/>
          <w:szCs w:val="22"/>
          <w:lang w:val="de-DE"/>
        </w:rPr>
        <w:t xml:space="preserve"> worden ist. Identität der </w:t>
      </w:r>
      <w:r w:rsidR="004413D5" w:rsidRPr="00F45D58">
        <w:rPr>
          <w:sz w:val="22"/>
          <w:szCs w:val="22"/>
          <w:lang w:val="de-DE"/>
        </w:rPr>
        <w:t>Design</w:t>
      </w:r>
      <w:r w:rsidR="00D76BFE" w:rsidRPr="00F45D58">
        <w:rPr>
          <w:sz w:val="22"/>
          <w:szCs w:val="22"/>
          <w:lang w:val="de-DE"/>
        </w:rPr>
        <w:t>s</w:t>
      </w:r>
      <w:r w:rsidRPr="00F45D58">
        <w:rPr>
          <w:sz w:val="22"/>
          <w:szCs w:val="22"/>
          <w:lang w:val="de-DE"/>
        </w:rPr>
        <w:t xml:space="preserve"> kann auch bejaht werden, wenn sich ihre Merkmale in nur unwesentlichen Einzelheiten unterscheiden (§ 2 </w:t>
      </w:r>
      <w:proofErr w:type="spellStart"/>
      <w:r w:rsidR="004413D5" w:rsidRPr="00F45D58">
        <w:rPr>
          <w:sz w:val="22"/>
          <w:szCs w:val="22"/>
          <w:lang w:val="de-DE"/>
        </w:rPr>
        <w:t>DesignG</w:t>
      </w:r>
      <w:proofErr w:type="spellEnd"/>
      <w:r w:rsidRPr="00F45D58">
        <w:rPr>
          <w:sz w:val="22"/>
          <w:szCs w:val="22"/>
          <w:lang w:val="de-DE"/>
        </w:rPr>
        <w:t xml:space="preserve">). Ein </w:t>
      </w:r>
      <w:r w:rsidR="004413D5" w:rsidRPr="00F45D58">
        <w:rPr>
          <w:sz w:val="22"/>
          <w:szCs w:val="22"/>
          <w:lang w:val="de-DE"/>
        </w:rPr>
        <w:t>Design</w:t>
      </w:r>
      <w:r w:rsidRPr="00F45D58">
        <w:rPr>
          <w:sz w:val="22"/>
          <w:szCs w:val="22"/>
          <w:lang w:val="de-DE"/>
        </w:rPr>
        <w:t xml:space="preserve"> gilt nach § 5 </w:t>
      </w:r>
      <w:proofErr w:type="spellStart"/>
      <w:r w:rsidR="004413D5" w:rsidRPr="00F45D58">
        <w:rPr>
          <w:sz w:val="22"/>
          <w:szCs w:val="22"/>
          <w:lang w:val="de-DE"/>
        </w:rPr>
        <w:t>DesignG</w:t>
      </w:r>
      <w:proofErr w:type="spellEnd"/>
      <w:r w:rsidRPr="00F45D58">
        <w:rPr>
          <w:sz w:val="22"/>
          <w:szCs w:val="22"/>
          <w:lang w:val="de-DE"/>
        </w:rPr>
        <w:t xml:space="preserve"> als offenbart, wenn es </w:t>
      </w:r>
      <w:r w:rsidRPr="00F45D58">
        <w:rPr>
          <w:sz w:val="22"/>
          <w:szCs w:val="22"/>
          <w:u w:val="single"/>
          <w:lang w:val="de-DE"/>
        </w:rPr>
        <w:t>bekannt gemacht, ausgestellt, im Verkehr verwendet oder auf sonstige Weise der Öffentlichkeit zugänglich gemacht</w:t>
      </w:r>
      <w:r w:rsidRPr="00F45D58">
        <w:rPr>
          <w:sz w:val="22"/>
          <w:szCs w:val="22"/>
          <w:lang w:val="de-DE"/>
        </w:rPr>
        <w:t xml:space="preserve"> wurde.</w:t>
      </w:r>
      <w:r w:rsidR="000D6FE8" w:rsidRPr="00F45D58">
        <w:rPr>
          <w:sz w:val="22"/>
          <w:szCs w:val="22"/>
          <w:lang w:val="de-DE"/>
        </w:rPr>
        <w:br/>
      </w:r>
    </w:p>
    <w:p w:rsidR="008D757A" w:rsidRPr="00F45D58" w:rsidRDefault="00DB488F" w:rsidP="001C1E19">
      <w:pPr>
        <w:pStyle w:val="Listenabsatz"/>
        <w:ind w:left="851"/>
        <w:jc w:val="both"/>
        <w:rPr>
          <w:sz w:val="22"/>
          <w:szCs w:val="22"/>
          <w:lang w:val="de-DE"/>
        </w:rPr>
      </w:pPr>
      <w:r w:rsidRPr="00F45D58">
        <w:rPr>
          <w:sz w:val="22"/>
          <w:szCs w:val="22"/>
          <w:lang w:val="de-DE"/>
        </w:rPr>
        <w:t>Der Neuheitsbegriff wird dadurch relativiert, dass das nicht als offenbart gilt, was den in der europäischen Gemeinschaft tätigen Fachkreisen</w:t>
      </w:r>
      <w:r w:rsidR="00163140" w:rsidRPr="00F45D58">
        <w:rPr>
          <w:sz w:val="22"/>
          <w:szCs w:val="22"/>
          <w:lang w:val="de-DE"/>
        </w:rPr>
        <w:t xml:space="preserve"> </w:t>
      </w:r>
      <w:r w:rsidRPr="00F45D58">
        <w:rPr>
          <w:sz w:val="22"/>
          <w:szCs w:val="22"/>
          <w:lang w:val="de-DE"/>
        </w:rPr>
        <w:t xml:space="preserve">des betreffenden Gebietes im normalen Geschäftsverlauf vor dem Anmeldetag des </w:t>
      </w:r>
      <w:r w:rsidR="004413D5" w:rsidRPr="00F45D58">
        <w:rPr>
          <w:sz w:val="22"/>
          <w:szCs w:val="22"/>
          <w:lang w:val="de-DE"/>
        </w:rPr>
        <w:t>Design</w:t>
      </w:r>
      <w:r w:rsidRPr="00F45D58">
        <w:rPr>
          <w:sz w:val="22"/>
          <w:szCs w:val="22"/>
          <w:lang w:val="de-DE"/>
        </w:rPr>
        <w:t>s nicht bekannt sein konnte, oder wenn es einem Dritten lediglich unter der ausdrücklichen oder stillschweigenden Bedingung der Vertraulichkeit bekannt gemacht wurde.</w:t>
      </w:r>
    </w:p>
    <w:p w:rsidR="00DB488F" w:rsidRPr="00F45D58" w:rsidRDefault="00DB488F" w:rsidP="001C1E19">
      <w:pPr>
        <w:ind w:left="851" w:hanging="491"/>
        <w:jc w:val="both"/>
        <w:rPr>
          <w:b/>
          <w:sz w:val="22"/>
          <w:szCs w:val="22"/>
          <w:lang w:val="de-DE"/>
        </w:rPr>
      </w:pPr>
    </w:p>
    <w:p w:rsidR="00D76BFE" w:rsidRPr="00F45D58" w:rsidRDefault="00DB488F" w:rsidP="001C1E19">
      <w:pPr>
        <w:pStyle w:val="Listenabsatz"/>
        <w:ind w:left="851"/>
        <w:jc w:val="both"/>
        <w:rPr>
          <w:sz w:val="22"/>
          <w:szCs w:val="22"/>
          <w:lang w:val="de-DE"/>
        </w:rPr>
      </w:pPr>
      <w:r w:rsidRPr="00F45D58">
        <w:rPr>
          <w:sz w:val="22"/>
          <w:szCs w:val="22"/>
          <w:lang w:val="de-DE"/>
        </w:rPr>
        <w:t xml:space="preserve">Weiterhin muss das </w:t>
      </w:r>
      <w:r w:rsidR="004413D5" w:rsidRPr="00F45D58">
        <w:rPr>
          <w:sz w:val="22"/>
          <w:szCs w:val="22"/>
          <w:lang w:val="de-DE"/>
        </w:rPr>
        <w:t>Design</w:t>
      </w:r>
      <w:r w:rsidRPr="00F45D58">
        <w:rPr>
          <w:sz w:val="22"/>
          <w:szCs w:val="22"/>
          <w:lang w:val="de-DE"/>
        </w:rPr>
        <w:t xml:space="preserve"> </w:t>
      </w:r>
      <w:r w:rsidRPr="00F45D58">
        <w:rPr>
          <w:sz w:val="22"/>
          <w:szCs w:val="22"/>
          <w:u w:val="single"/>
          <w:lang w:val="de-DE"/>
        </w:rPr>
        <w:t>Eigenart</w:t>
      </w:r>
      <w:r w:rsidRPr="00F45D58">
        <w:rPr>
          <w:sz w:val="22"/>
          <w:szCs w:val="22"/>
          <w:lang w:val="de-DE"/>
        </w:rPr>
        <w:t xml:space="preserve"> aufweisen. Durch den Begriff der Eigenart wurde der früher verwendete </w:t>
      </w:r>
      <w:r w:rsidRPr="00F45D58">
        <w:rPr>
          <w:sz w:val="22"/>
          <w:szCs w:val="22"/>
          <w:u w:val="single"/>
          <w:lang w:val="de-DE"/>
        </w:rPr>
        <w:t>Begriff der Eigentümlichkeit ersetzt</w:t>
      </w:r>
      <w:r w:rsidRPr="00F45D58">
        <w:rPr>
          <w:sz w:val="22"/>
          <w:szCs w:val="22"/>
          <w:lang w:val="de-DE"/>
        </w:rPr>
        <w:t xml:space="preserve">. Eigentümlichkeit setzte noch eine eigenschöpferische Leistung voraus, die aber keine künstlerische Gestaltungshöhe erreichen musste. Die Eigenart ist demgegenüber von der persönlichen Leistung des Gestalters vollkommen losgelöst. </w:t>
      </w:r>
      <w:r w:rsidR="008B190F" w:rsidRPr="00F45D58">
        <w:rPr>
          <w:sz w:val="22"/>
          <w:szCs w:val="22"/>
          <w:lang w:val="de-DE"/>
        </w:rPr>
        <w:t>Daher steht das Designrecht gleichrangig neben dem davon unabhängig m</w:t>
      </w:r>
      <w:r w:rsidR="00D76BFE" w:rsidRPr="00F45D58">
        <w:rPr>
          <w:sz w:val="22"/>
          <w:szCs w:val="22"/>
          <w:lang w:val="de-DE"/>
        </w:rPr>
        <w:t>ö</w:t>
      </w:r>
      <w:r w:rsidR="008B190F" w:rsidRPr="00F45D58">
        <w:rPr>
          <w:sz w:val="22"/>
          <w:szCs w:val="22"/>
          <w:lang w:val="de-DE"/>
        </w:rPr>
        <w:t>glichen Urheberrechtsschutz für Design</w:t>
      </w:r>
      <w:r w:rsidR="00D76BFE" w:rsidRPr="00F45D58">
        <w:rPr>
          <w:sz w:val="22"/>
          <w:szCs w:val="22"/>
          <w:lang w:val="de-DE"/>
        </w:rPr>
        <w:t>s</w:t>
      </w:r>
      <w:r w:rsidR="008B190F" w:rsidRPr="00F45D58">
        <w:rPr>
          <w:sz w:val="22"/>
          <w:szCs w:val="22"/>
          <w:lang w:val="de-DE"/>
        </w:rPr>
        <w:t xml:space="preserve"> (siehe dazu auch die in AP2 erwähnte Entscheidung des BGH „Geburtstagszug“). </w:t>
      </w:r>
    </w:p>
    <w:p w:rsidR="00D76BFE" w:rsidRPr="00F45D58" w:rsidRDefault="00D76BFE" w:rsidP="001C1E19">
      <w:pPr>
        <w:pStyle w:val="Listenabsatz"/>
        <w:ind w:left="851"/>
        <w:jc w:val="both"/>
        <w:rPr>
          <w:sz w:val="22"/>
          <w:szCs w:val="22"/>
          <w:lang w:val="de-DE"/>
        </w:rPr>
      </w:pPr>
    </w:p>
    <w:p w:rsidR="00DB488F" w:rsidRPr="00F45D58" w:rsidRDefault="00DB488F" w:rsidP="001C1E19">
      <w:pPr>
        <w:pStyle w:val="Listenabsatz"/>
        <w:ind w:left="851"/>
        <w:jc w:val="both"/>
        <w:rPr>
          <w:sz w:val="22"/>
          <w:szCs w:val="22"/>
          <w:lang w:val="de-DE"/>
        </w:rPr>
      </w:pPr>
      <w:r w:rsidRPr="00F45D58">
        <w:rPr>
          <w:sz w:val="22"/>
          <w:szCs w:val="22"/>
          <w:lang w:val="de-DE"/>
        </w:rPr>
        <w:t xml:space="preserve">Gem. § 2 Abs. 3 </w:t>
      </w:r>
      <w:proofErr w:type="spellStart"/>
      <w:r w:rsidR="004413D5" w:rsidRPr="00F45D58">
        <w:rPr>
          <w:sz w:val="22"/>
          <w:szCs w:val="22"/>
          <w:lang w:val="de-DE"/>
        </w:rPr>
        <w:t>DesignG</w:t>
      </w:r>
      <w:proofErr w:type="spellEnd"/>
      <w:r w:rsidRPr="00F45D58">
        <w:rPr>
          <w:sz w:val="22"/>
          <w:szCs w:val="22"/>
          <w:lang w:val="de-DE"/>
        </w:rPr>
        <w:t xml:space="preserve"> beruht nunmehr ein </w:t>
      </w:r>
      <w:r w:rsidR="004413D5" w:rsidRPr="00F45D58">
        <w:rPr>
          <w:sz w:val="22"/>
          <w:szCs w:val="22"/>
          <w:lang w:val="de-DE"/>
        </w:rPr>
        <w:t>Design</w:t>
      </w:r>
      <w:r w:rsidRPr="00F45D58">
        <w:rPr>
          <w:sz w:val="22"/>
          <w:szCs w:val="22"/>
          <w:lang w:val="de-DE"/>
        </w:rPr>
        <w:t xml:space="preserve"> auf einer Eigenart, wenn sich der Gesamteindruck, den es beim informierten Benutzer hervorruft, von dem Gesamteindruck unterscheidet, den ein anderes </w:t>
      </w:r>
      <w:r w:rsidR="004413D5" w:rsidRPr="00F45D58">
        <w:rPr>
          <w:sz w:val="22"/>
          <w:szCs w:val="22"/>
          <w:lang w:val="de-DE"/>
        </w:rPr>
        <w:t>Design</w:t>
      </w:r>
      <w:r w:rsidRPr="00F45D58">
        <w:rPr>
          <w:sz w:val="22"/>
          <w:szCs w:val="22"/>
          <w:lang w:val="de-DE"/>
        </w:rPr>
        <w:t xml:space="preserve"> bei diesem Benutzer hervorruft, </w:t>
      </w:r>
      <w:proofErr w:type="gramStart"/>
      <w:r w:rsidRPr="00F45D58">
        <w:rPr>
          <w:sz w:val="22"/>
          <w:szCs w:val="22"/>
          <w:lang w:val="de-DE"/>
        </w:rPr>
        <w:t>das</w:t>
      </w:r>
      <w:proofErr w:type="gramEnd"/>
      <w:r w:rsidRPr="00F45D58">
        <w:rPr>
          <w:sz w:val="22"/>
          <w:szCs w:val="22"/>
          <w:lang w:val="de-DE"/>
        </w:rPr>
        <w:t xml:space="preserve"> vor dem Anmeldetag bzw. Prioritätstag offenbart worden ist. Bei dem informierten Benutzer handelt </w:t>
      </w:r>
      <w:r w:rsidRPr="00F45D58">
        <w:rPr>
          <w:sz w:val="22"/>
          <w:szCs w:val="22"/>
          <w:lang w:val="de-DE"/>
        </w:rPr>
        <w:lastRenderedPageBreak/>
        <w:t xml:space="preserve">es sich ebenso wie bei dem im Patentrecht bekannten „Durchschnittsfachmann“ um eine fiktive Person, deren Kenntnisse sich auf ein bestimmtes Fachgebiet beziehen. Die Frage, ob ein </w:t>
      </w:r>
      <w:r w:rsidR="004413D5" w:rsidRPr="00F45D58">
        <w:rPr>
          <w:sz w:val="22"/>
          <w:szCs w:val="22"/>
          <w:lang w:val="de-DE"/>
        </w:rPr>
        <w:t>Design</w:t>
      </w:r>
      <w:r w:rsidRPr="00F45D58">
        <w:rPr>
          <w:sz w:val="22"/>
          <w:szCs w:val="22"/>
          <w:lang w:val="de-DE"/>
        </w:rPr>
        <w:t xml:space="preserve"> die erforderliche Eigenart aufweist, beurteilt sich objektiv aufgrund der auf dem einschlägigen Fachgebiet geleisteten Vorarbeit in ihrer Gesamtheit und in Verbindung mit dem zur Verfügung stehenden freien Formenschatz.</w:t>
      </w:r>
    </w:p>
    <w:p w:rsidR="00DB488F" w:rsidRPr="00F45D58" w:rsidRDefault="00DB488F" w:rsidP="001C1E19">
      <w:pPr>
        <w:pStyle w:val="Listenabsatz"/>
        <w:ind w:left="851" w:hanging="491"/>
        <w:jc w:val="both"/>
        <w:rPr>
          <w:sz w:val="22"/>
          <w:szCs w:val="22"/>
          <w:lang w:val="de-DE"/>
        </w:rPr>
      </w:pPr>
    </w:p>
    <w:p w:rsidR="00526BE5" w:rsidRPr="00F45D58" w:rsidRDefault="00DB488F" w:rsidP="001C1E19">
      <w:pPr>
        <w:pStyle w:val="Listenabsatz"/>
        <w:numPr>
          <w:ilvl w:val="0"/>
          <w:numId w:val="4"/>
        </w:numPr>
        <w:ind w:left="851" w:hanging="491"/>
        <w:jc w:val="both"/>
        <w:rPr>
          <w:sz w:val="22"/>
          <w:szCs w:val="22"/>
          <w:lang w:val="de-DE"/>
        </w:rPr>
      </w:pPr>
      <w:r w:rsidRPr="00F45D58">
        <w:rPr>
          <w:sz w:val="22"/>
          <w:szCs w:val="22"/>
          <w:lang w:val="de-DE"/>
        </w:rPr>
        <w:t xml:space="preserve">Während die Entstehung des Urheberrechts an keine Förmlichkeiten gebunden ist, ist für die Erlangung des </w:t>
      </w:r>
      <w:r w:rsidR="004413D5" w:rsidRPr="00F45D58">
        <w:rPr>
          <w:sz w:val="22"/>
          <w:szCs w:val="22"/>
          <w:lang w:val="de-DE"/>
        </w:rPr>
        <w:t>Design</w:t>
      </w:r>
      <w:r w:rsidRPr="00F45D58">
        <w:rPr>
          <w:sz w:val="22"/>
          <w:szCs w:val="22"/>
          <w:lang w:val="de-DE"/>
        </w:rPr>
        <w:t xml:space="preserve">schutzes erforderlich, dass das </w:t>
      </w:r>
      <w:r w:rsidR="004413D5" w:rsidRPr="00F45D58">
        <w:rPr>
          <w:sz w:val="22"/>
          <w:szCs w:val="22"/>
          <w:lang w:val="de-DE"/>
        </w:rPr>
        <w:t xml:space="preserve">Design </w:t>
      </w:r>
      <w:r w:rsidRPr="00F45D58">
        <w:rPr>
          <w:sz w:val="22"/>
          <w:szCs w:val="22"/>
          <w:u w:val="single"/>
          <w:lang w:val="de-DE"/>
        </w:rPr>
        <w:t>beim DPMA angemeldet</w:t>
      </w:r>
      <w:r w:rsidRPr="00F45D58">
        <w:rPr>
          <w:sz w:val="22"/>
          <w:szCs w:val="22"/>
          <w:lang w:val="de-DE"/>
        </w:rPr>
        <w:t xml:space="preserve"> wird. Das DPMA prüft insoweit </w:t>
      </w:r>
      <w:r w:rsidRPr="00F45D58">
        <w:rPr>
          <w:sz w:val="22"/>
          <w:szCs w:val="22"/>
          <w:u w:val="single"/>
          <w:lang w:val="de-DE"/>
        </w:rPr>
        <w:t>nur die formellen Voraussetzungen</w:t>
      </w:r>
      <w:r w:rsidRPr="00F45D58">
        <w:rPr>
          <w:sz w:val="22"/>
          <w:szCs w:val="22"/>
          <w:lang w:val="de-DE"/>
        </w:rPr>
        <w:t xml:space="preserve"> (Anmeldungserfordernisse). Hierdurch unterscheidet sich das </w:t>
      </w:r>
      <w:r w:rsidR="004413D5" w:rsidRPr="00F45D58">
        <w:rPr>
          <w:sz w:val="22"/>
          <w:szCs w:val="22"/>
          <w:lang w:val="de-DE"/>
        </w:rPr>
        <w:t xml:space="preserve">Design </w:t>
      </w:r>
      <w:r w:rsidRPr="00F45D58">
        <w:rPr>
          <w:sz w:val="22"/>
          <w:szCs w:val="22"/>
          <w:lang w:val="de-DE"/>
        </w:rPr>
        <w:t>auch vom Patent. Bei Anmeldung eines Patents werden sowohl die formellen als auch die materiellen Voraussetzungen geprüft.</w:t>
      </w:r>
    </w:p>
    <w:p w:rsidR="00526BE5" w:rsidRPr="00F45D58" w:rsidRDefault="00DB488F" w:rsidP="001C1E19">
      <w:pPr>
        <w:pStyle w:val="Listenabsatz"/>
        <w:ind w:left="851"/>
        <w:jc w:val="both"/>
        <w:rPr>
          <w:sz w:val="22"/>
          <w:szCs w:val="22"/>
          <w:lang w:val="de-DE"/>
        </w:rPr>
      </w:pPr>
      <w:r w:rsidRPr="00F45D58">
        <w:rPr>
          <w:sz w:val="22"/>
          <w:szCs w:val="22"/>
          <w:lang w:val="de-DE"/>
        </w:rPr>
        <w:t xml:space="preserve"> </w:t>
      </w:r>
    </w:p>
    <w:p w:rsidR="00DB488F" w:rsidRPr="00F45D58" w:rsidRDefault="00DB488F" w:rsidP="001C1E19">
      <w:pPr>
        <w:pStyle w:val="Listenabsatz"/>
        <w:ind w:left="851"/>
        <w:jc w:val="both"/>
        <w:rPr>
          <w:sz w:val="22"/>
          <w:szCs w:val="22"/>
          <w:lang w:val="de-DE"/>
        </w:rPr>
      </w:pPr>
      <w:r w:rsidRPr="00F45D58">
        <w:rPr>
          <w:sz w:val="22"/>
          <w:szCs w:val="22"/>
          <w:lang w:val="de-DE"/>
        </w:rPr>
        <w:t xml:space="preserve">Sofern keine Mängel vorliegen, wird das </w:t>
      </w:r>
      <w:r w:rsidR="004413D5" w:rsidRPr="00F45D58">
        <w:rPr>
          <w:sz w:val="22"/>
          <w:szCs w:val="22"/>
          <w:lang w:val="de-DE"/>
        </w:rPr>
        <w:t xml:space="preserve">Design </w:t>
      </w:r>
      <w:r w:rsidRPr="00F45D58">
        <w:rPr>
          <w:sz w:val="22"/>
          <w:szCs w:val="22"/>
          <w:lang w:val="de-DE"/>
        </w:rPr>
        <w:t xml:space="preserve">eingetragen und im Geschmacksmusterblatt veröffentlicht. Ein solcher Eintrag ist endgültig. Beseitigung kann nur im Wege der Löschung erreicht werden. Die Schutzdauer des Geschmacksmusters beträgt maximal 25 Jahre (§ 27 Abs. 2 </w:t>
      </w:r>
      <w:proofErr w:type="spellStart"/>
      <w:r w:rsidR="004413D5" w:rsidRPr="00F45D58">
        <w:rPr>
          <w:sz w:val="22"/>
          <w:szCs w:val="22"/>
          <w:lang w:val="de-DE"/>
        </w:rPr>
        <w:t>DesignG</w:t>
      </w:r>
      <w:proofErr w:type="spellEnd"/>
      <w:r w:rsidRPr="00F45D58">
        <w:rPr>
          <w:sz w:val="22"/>
          <w:szCs w:val="22"/>
          <w:lang w:val="de-DE"/>
        </w:rPr>
        <w:t xml:space="preserve">). Das Recht an dem </w:t>
      </w:r>
      <w:r w:rsidR="004413D5" w:rsidRPr="00F45D58">
        <w:rPr>
          <w:sz w:val="22"/>
          <w:szCs w:val="22"/>
          <w:lang w:val="de-DE"/>
        </w:rPr>
        <w:t xml:space="preserve">eingetragenen Design </w:t>
      </w:r>
      <w:r w:rsidRPr="00F45D58">
        <w:rPr>
          <w:sz w:val="22"/>
          <w:szCs w:val="22"/>
          <w:lang w:val="de-DE"/>
        </w:rPr>
        <w:t xml:space="preserve">kann im Gegensatz zum Urheberrecht auf andere übertragen werden oder übergehen (vgl. § 29 </w:t>
      </w:r>
      <w:proofErr w:type="spellStart"/>
      <w:r w:rsidR="004413D5" w:rsidRPr="00F45D58">
        <w:rPr>
          <w:sz w:val="22"/>
          <w:szCs w:val="22"/>
          <w:lang w:val="de-DE"/>
        </w:rPr>
        <w:t>DesignG</w:t>
      </w:r>
      <w:proofErr w:type="spellEnd"/>
      <w:r w:rsidRPr="00F45D58">
        <w:rPr>
          <w:sz w:val="22"/>
          <w:szCs w:val="22"/>
          <w:lang w:val="de-DE"/>
        </w:rPr>
        <w:t xml:space="preserve">). Im Übrigen kann eine Verwertung durch Einräumung von Nutzungsrechten nach § 31 </w:t>
      </w:r>
      <w:proofErr w:type="spellStart"/>
      <w:r w:rsidR="004413D5" w:rsidRPr="00F45D58">
        <w:rPr>
          <w:sz w:val="22"/>
          <w:szCs w:val="22"/>
          <w:lang w:val="de-DE"/>
        </w:rPr>
        <w:t>DesignG</w:t>
      </w:r>
      <w:proofErr w:type="spellEnd"/>
      <w:r w:rsidRPr="00F45D58">
        <w:rPr>
          <w:sz w:val="22"/>
          <w:szCs w:val="22"/>
          <w:lang w:val="de-DE"/>
        </w:rPr>
        <w:t xml:space="preserve"> erfolgen.</w:t>
      </w:r>
    </w:p>
    <w:p w:rsidR="00DB488F" w:rsidRPr="00F45D58" w:rsidRDefault="00DB488F" w:rsidP="001C1E19">
      <w:pPr>
        <w:pStyle w:val="Listenabsatz"/>
        <w:ind w:left="851" w:hanging="491"/>
        <w:jc w:val="both"/>
        <w:rPr>
          <w:sz w:val="22"/>
          <w:szCs w:val="22"/>
          <w:lang w:val="de-DE"/>
        </w:rPr>
      </w:pPr>
    </w:p>
    <w:p w:rsidR="00DB488F" w:rsidRPr="00F45D58" w:rsidRDefault="00DB488F" w:rsidP="001C1E19">
      <w:pPr>
        <w:pStyle w:val="Listenabsatz"/>
        <w:numPr>
          <w:ilvl w:val="0"/>
          <w:numId w:val="4"/>
        </w:numPr>
        <w:ind w:left="851" w:hanging="491"/>
        <w:jc w:val="both"/>
        <w:rPr>
          <w:sz w:val="22"/>
          <w:szCs w:val="22"/>
          <w:lang w:val="de-DE"/>
        </w:rPr>
      </w:pPr>
      <w:r w:rsidRPr="00F45D58">
        <w:rPr>
          <w:sz w:val="22"/>
          <w:szCs w:val="22"/>
          <w:lang w:val="de-DE"/>
        </w:rPr>
        <w:t xml:space="preserve">Durch </w:t>
      </w:r>
      <w:r w:rsidR="00526BE5" w:rsidRPr="00F45D58">
        <w:rPr>
          <w:sz w:val="22"/>
          <w:szCs w:val="22"/>
          <w:lang w:val="de-DE"/>
        </w:rPr>
        <w:t>die Eintragung des</w:t>
      </w:r>
      <w:r w:rsidR="004413D5" w:rsidRPr="00F45D58">
        <w:rPr>
          <w:sz w:val="22"/>
          <w:szCs w:val="22"/>
          <w:lang w:val="de-DE"/>
        </w:rPr>
        <w:t xml:space="preserve"> Design</w:t>
      </w:r>
      <w:r w:rsidR="00526BE5" w:rsidRPr="00F45D58">
        <w:rPr>
          <w:sz w:val="22"/>
          <w:szCs w:val="22"/>
          <w:lang w:val="de-DE"/>
        </w:rPr>
        <w:t>s</w:t>
      </w:r>
      <w:r w:rsidR="004413D5" w:rsidRPr="00F45D58">
        <w:rPr>
          <w:sz w:val="22"/>
          <w:szCs w:val="22"/>
          <w:lang w:val="de-DE"/>
        </w:rPr>
        <w:t xml:space="preserve"> </w:t>
      </w:r>
      <w:r w:rsidRPr="00F45D58">
        <w:rPr>
          <w:sz w:val="22"/>
          <w:szCs w:val="22"/>
          <w:lang w:val="de-DE"/>
        </w:rPr>
        <w:t xml:space="preserve">wird seinem Inhaber das </w:t>
      </w:r>
      <w:r w:rsidRPr="00F45D58">
        <w:rPr>
          <w:sz w:val="22"/>
          <w:szCs w:val="22"/>
          <w:u w:val="single"/>
          <w:lang w:val="de-DE"/>
        </w:rPr>
        <w:t>ausschließliche Recht</w:t>
      </w:r>
      <w:r w:rsidRPr="00F45D58">
        <w:rPr>
          <w:sz w:val="22"/>
          <w:szCs w:val="22"/>
          <w:lang w:val="de-DE"/>
        </w:rPr>
        <w:t xml:space="preserve"> gewährt, </w:t>
      </w:r>
      <w:r w:rsidR="00526BE5" w:rsidRPr="00F45D58">
        <w:rPr>
          <w:sz w:val="22"/>
          <w:szCs w:val="22"/>
          <w:lang w:val="de-DE"/>
        </w:rPr>
        <w:t xml:space="preserve">dieses </w:t>
      </w:r>
      <w:r w:rsidRPr="00F45D58">
        <w:rPr>
          <w:sz w:val="22"/>
          <w:szCs w:val="22"/>
          <w:lang w:val="de-DE"/>
        </w:rPr>
        <w:t xml:space="preserve">zu benutzen und Dritten zu verbieten, es ohne seine Zustimmung zu </w:t>
      </w:r>
      <w:r w:rsidR="00526BE5" w:rsidRPr="00F45D58">
        <w:rPr>
          <w:sz w:val="22"/>
          <w:szCs w:val="22"/>
          <w:lang w:val="de-DE"/>
        </w:rPr>
        <w:t xml:space="preserve">verwenden </w:t>
      </w:r>
      <w:r w:rsidRPr="00F45D58">
        <w:rPr>
          <w:sz w:val="22"/>
          <w:szCs w:val="22"/>
          <w:lang w:val="de-DE"/>
        </w:rPr>
        <w:t xml:space="preserve">(vgl. § 38 Abs. 1 </w:t>
      </w:r>
      <w:proofErr w:type="spellStart"/>
      <w:r w:rsidR="004413D5" w:rsidRPr="00F45D58">
        <w:rPr>
          <w:sz w:val="22"/>
          <w:szCs w:val="22"/>
          <w:lang w:val="de-DE"/>
        </w:rPr>
        <w:t>DesignG</w:t>
      </w:r>
      <w:proofErr w:type="spellEnd"/>
      <w:r w:rsidRPr="00F45D58">
        <w:rPr>
          <w:sz w:val="22"/>
          <w:szCs w:val="22"/>
          <w:lang w:val="de-DE"/>
        </w:rPr>
        <w:t xml:space="preserve">). Dem Rechtsinhaber steht </w:t>
      </w:r>
      <w:r w:rsidRPr="00F45D58">
        <w:rPr>
          <w:sz w:val="22"/>
          <w:szCs w:val="22"/>
          <w:u w:val="single"/>
          <w:lang w:val="de-DE"/>
        </w:rPr>
        <w:t>kein positives Benutzungsrecht</w:t>
      </w:r>
      <w:r w:rsidRPr="00F45D58">
        <w:rPr>
          <w:sz w:val="22"/>
          <w:szCs w:val="22"/>
          <w:lang w:val="de-DE"/>
        </w:rPr>
        <w:t xml:space="preserve">, sondern nur ein </w:t>
      </w:r>
      <w:r w:rsidRPr="00F45D58">
        <w:rPr>
          <w:sz w:val="22"/>
          <w:szCs w:val="22"/>
          <w:u w:val="single"/>
          <w:lang w:val="de-DE"/>
        </w:rPr>
        <w:t>Verbietungsrecht</w:t>
      </w:r>
      <w:r w:rsidRPr="00F45D58">
        <w:rPr>
          <w:sz w:val="22"/>
          <w:szCs w:val="22"/>
          <w:lang w:val="de-DE"/>
        </w:rPr>
        <w:t xml:space="preserve"> zu, denn selbstverständlich hat er ältere und bessere Rechte Dritter zu beachten. Wer das </w:t>
      </w:r>
      <w:r w:rsidR="004413D5" w:rsidRPr="00F45D58">
        <w:rPr>
          <w:sz w:val="22"/>
          <w:szCs w:val="22"/>
          <w:lang w:val="de-DE"/>
        </w:rPr>
        <w:t xml:space="preserve">Designrecht </w:t>
      </w:r>
      <w:r w:rsidRPr="00F45D58">
        <w:rPr>
          <w:sz w:val="22"/>
          <w:szCs w:val="22"/>
          <w:lang w:val="de-DE"/>
        </w:rPr>
        <w:t xml:space="preserve">eines anderen verletzt, kann von dessen Inhaber oder einem anderen Berechtigten auf </w:t>
      </w:r>
      <w:r w:rsidRPr="00F45D58">
        <w:rPr>
          <w:sz w:val="22"/>
          <w:szCs w:val="22"/>
          <w:u w:val="single"/>
          <w:lang w:val="de-DE"/>
        </w:rPr>
        <w:t>Beseitigung der Beeinträchtigung</w:t>
      </w:r>
      <w:r w:rsidRPr="00F45D58">
        <w:rPr>
          <w:sz w:val="22"/>
          <w:szCs w:val="22"/>
          <w:lang w:val="de-DE"/>
        </w:rPr>
        <w:t xml:space="preserve"> und bei Wiederholungsgefahr auf </w:t>
      </w:r>
      <w:r w:rsidRPr="00F45D58">
        <w:rPr>
          <w:sz w:val="22"/>
          <w:szCs w:val="22"/>
          <w:u w:val="single"/>
          <w:lang w:val="de-DE"/>
        </w:rPr>
        <w:t>Unterlassung</w:t>
      </w:r>
      <w:r w:rsidRPr="00F45D58">
        <w:rPr>
          <w:sz w:val="22"/>
          <w:szCs w:val="22"/>
          <w:lang w:val="de-DE"/>
        </w:rPr>
        <w:t xml:space="preserve"> in Anspruch genommen werden (§ 42 </w:t>
      </w:r>
      <w:proofErr w:type="spellStart"/>
      <w:r w:rsidR="004413D5" w:rsidRPr="00F45D58">
        <w:rPr>
          <w:sz w:val="22"/>
          <w:szCs w:val="22"/>
          <w:lang w:val="de-DE"/>
        </w:rPr>
        <w:t>DesignG</w:t>
      </w:r>
      <w:proofErr w:type="spellEnd"/>
      <w:r w:rsidRPr="00F45D58">
        <w:rPr>
          <w:sz w:val="22"/>
          <w:szCs w:val="22"/>
          <w:lang w:val="de-DE"/>
        </w:rPr>
        <w:t xml:space="preserve">). Handelt der </w:t>
      </w:r>
      <w:proofErr w:type="spellStart"/>
      <w:r w:rsidRPr="00F45D58">
        <w:rPr>
          <w:sz w:val="22"/>
          <w:szCs w:val="22"/>
          <w:lang w:val="de-DE"/>
        </w:rPr>
        <w:t>Verletzer</w:t>
      </w:r>
      <w:proofErr w:type="spellEnd"/>
      <w:r w:rsidRPr="00F45D58">
        <w:rPr>
          <w:sz w:val="22"/>
          <w:szCs w:val="22"/>
          <w:lang w:val="de-DE"/>
        </w:rPr>
        <w:t xml:space="preserve"> vorsätzlich oder fahrlässig, ist er zum </w:t>
      </w:r>
      <w:r w:rsidRPr="00F45D58">
        <w:rPr>
          <w:sz w:val="22"/>
          <w:szCs w:val="22"/>
          <w:u w:val="single"/>
          <w:lang w:val="de-DE"/>
        </w:rPr>
        <w:t>Schadensersatz</w:t>
      </w:r>
      <w:r w:rsidRPr="00F45D58">
        <w:rPr>
          <w:sz w:val="22"/>
          <w:szCs w:val="22"/>
          <w:lang w:val="de-DE"/>
        </w:rPr>
        <w:t xml:space="preserve"> verpflichtet. </w:t>
      </w:r>
    </w:p>
    <w:p w:rsidR="00DC0593" w:rsidRPr="00F45D58" w:rsidRDefault="00DC0593" w:rsidP="001C1E19">
      <w:pPr>
        <w:pStyle w:val="Listenabsatz"/>
        <w:ind w:left="825"/>
        <w:jc w:val="both"/>
        <w:rPr>
          <w:b/>
          <w:sz w:val="22"/>
          <w:szCs w:val="22"/>
          <w:lang w:val="de-DE"/>
        </w:rPr>
      </w:pPr>
    </w:p>
    <w:p w:rsidR="00DC0593" w:rsidRPr="00F45D58" w:rsidRDefault="00DC0593" w:rsidP="001C1E19">
      <w:pPr>
        <w:pStyle w:val="Listenabsatz"/>
        <w:ind w:left="825"/>
        <w:jc w:val="both"/>
        <w:rPr>
          <w:b/>
          <w:sz w:val="22"/>
          <w:szCs w:val="22"/>
          <w:lang w:val="de-DE"/>
        </w:rPr>
      </w:pPr>
    </w:p>
    <w:p w:rsidR="00DC0593" w:rsidRPr="00F45D58" w:rsidRDefault="00DC0593" w:rsidP="001C1E19">
      <w:pPr>
        <w:pStyle w:val="Listenabsatz"/>
        <w:numPr>
          <w:ilvl w:val="0"/>
          <w:numId w:val="2"/>
        </w:numPr>
        <w:tabs>
          <w:tab w:val="center" w:pos="-1134"/>
          <w:tab w:val="left" w:pos="1983"/>
          <w:tab w:val="center" w:pos="4819"/>
        </w:tabs>
        <w:ind w:left="851" w:hanging="491"/>
        <w:jc w:val="both"/>
        <w:rPr>
          <w:b/>
          <w:noProof/>
          <w:sz w:val="22"/>
          <w:szCs w:val="22"/>
          <w:lang w:val="de-DE"/>
        </w:rPr>
      </w:pPr>
      <w:r w:rsidRPr="00F45D58">
        <w:rPr>
          <w:b/>
          <w:noProof/>
          <w:sz w:val="22"/>
          <w:szCs w:val="22"/>
          <w:u w:val="single"/>
          <w:lang w:val="de-DE"/>
        </w:rPr>
        <w:t>Fälle</w:t>
      </w:r>
      <w:r w:rsidRPr="00F45D58">
        <w:rPr>
          <w:b/>
          <w:noProof/>
          <w:sz w:val="22"/>
          <w:szCs w:val="22"/>
          <w:lang w:val="de-DE"/>
        </w:rPr>
        <w:t>:</w:t>
      </w:r>
    </w:p>
    <w:p w:rsidR="00DC0593" w:rsidRPr="00F45D58" w:rsidRDefault="00DC0593" w:rsidP="00DC0593">
      <w:pPr>
        <w:tabs>
          <w:tab w:val="center" w:pos="-1134"/>
          <w:tab w:val="left" w:pos="1983"/>
          <w:tab w:val="center" w:pos="4819"/>
        </w:tabs>
        <w:jc w:val="both"/>
        <w:rPr>
          <w:noProof/>
          <w:sz w:val="22"/>
          <w:szCs w:val="22"/>
          <w:lang w:val="de-DE"/>
        </w:rPr>
      </w:pPr>
    </w:p>
    <w:p w:rsidR="00DC0593" w:rsidRPr="00F45D58" w:rsidRDefault="00DC0593" w:rsidP="001C1E19">
      <w:pPr>
        <w:pStyle w:val="Listenabsatz"/>
        <w:numPr>
          <w:ilvl w:val="0"/>
          <w:numId w:val="3"/>
        </w:numPr>
        <w:tabs>
          <w:tab w:val="center" w:pos="-1134"/>
          <w:tab w:val="left" w:pos="1983"/>
          <w:tab w:val="center" w:pos="4819"/>
        </w:tabs>
        <w:ind w:left="851" w:hanging="491"/>
        <w:jc w:val="both"/>
        <w:rPr>
          <w:noProof/>
          <w:sz w:val="22"/>
          <w:szCs w:val="22"/>
          <w:lang w:val="de-DE"/>
        </w:rPr>
      </w:pPr>
      <w:r w:rsidRPr="00F45D58">
        <w:rPr>
          <w:noProof/>
          <w:sz w:val="22"/>
          <w:szCs w:val="22"/>
          <w:lang w:val="de-DE"/>
        </w:rPr>
        <w:t>Die Brandt Zwieback-Schokoladen GmbH &amp; Co.</w:t>
      </w:r>
      <w:r w:rsidR="003F65BC" w:rsidRPr="00F45D58">
        <w:rPr>
          <w:noProof/>
          <w:sz w:val="22"/>
          <w:szCs w:val="22"/>
          <w:lang w:val="de-DE"/>
        </w:rPr>
        <w:t xml:space="preserve"> </w:t>
      </w:r>
      <w:r w:rsidRPr="00F45D58">
        <w:rPr>
          <w:noProof/>
          <w:sz w:val="22"/>
          <w:szCs w:val="22"/>
          <w:lang w:val="de-DE"/>
        </w:rPr>
        <w:t>KG (B) bietet unter ihren Werbeartikeln u.a. auch ein knallorangenes T-Shirt an, welches mit dem Firmenlogo und dem Gesicht eines kleinen, lächelnden Jungen</w:t>
      </w:r>
      <w:r w:rsidR="003F65BC" w:rsidRPr="00F45D58">
        <w:rPr>
          <w:noProof/>
          <w:sz w:val="22"/>
          <w:szCs w:val="22"/>
          <w:lang w:val="de-DE"/>
        </w:rPr>
        <w:t xml:space="preserve"> versehen ist</w:t>
      </w:r>
      <w:r w:rsidRPr="00F45D58">
        <w:rPr>
          <w:noProof/>
          <w:sz w:val="22"/>
          <w:szCs w:val="22"/>
          <w:lang w:val="de-DE"/>
        </w:rPr>
        <w:t xml:space="preserve">. Bei dem Motiv handelt es sich </w:t>
      </w:r>
      <w:r w:rsidR="003F65BC" w:rsidRPr="00F45D58">
        <w:rPr>
          <w:noProof/>
          <w:sz w:val="22"/>
          <w:szCs w:val="22"/>
          <w:lang w:val="de-DE"/>
        </w:rPr>
        <w:t xml:space="preserve">um </w:t>
      </w:r>
      <w:r w:rsidRPr="00F45D58">
        <w:rPr>
          <w:noProof/>
          <w:sz w:val="22"/>
          <w:szCs w:val="22"/>
          <w:lang w:val="de-DE"/>
        </w:rPr>
        <w:t>die Darstellung, welche die Firma auch auf den Verpackungen ihres Zwiebacks verwendet und welche sie sich auch für das T-Shirt ins Musterregister hat eintragen lassen. Kurz vor den Bundestagswahlen entschließt sich der Wahlkampfberater Willy Brandts</w:t>
      </w:r>
      <w:r w:rsidR="003F65BC" w:rsidRPr="00F45D58">
        <w:rPr>
          <w:noProof/>
          <w:sz w:val="22"/>
          <w:szCs w:val="22"/>
          <w:lang w:val="de-DE"/>
        </w:rPr>
        <w:t>,</w:t>
      </w:r>
      <w:r w:rsidRPr="00F45D58">
        <w:rPr>
          <w:noProof/>
          <w:sz w:val="22"/>
          <w:szCs w:val="22"/>
          <w:lang w:val="de-DE"/>
        </w:rPr>
        <w:t xml:space="preserve"> an das Motiv der Firma anzuknüpfen: Das </w:t>
      </w:r>
      <w:r w:rsidR="003F65BC" w:rsidRPr="00F45D58">
        <w:rPr>
          <w:noProof/>
          <w:sz w:val="22"/>
          <w:szCs w:val="22"/>
          <w:lang w:val="de-DE"/>
        </w:rPr>
        <w:t>F</w:t>
      </w:r>
      <w:r w:rsidRPr="00F45D58">
        <w:rPr>
          <w:noProof/>
          <w:sz w:val="22"/>
          <w:szCs w:val="22"/>
          <w:lang w:val="de-DE"/>
        </w:rPr>
        <w:t>oto des Kindes wird ersetzt durch das des Politikers, ansonsten bleibt die Gestaltung</w:t>
      </w:r>
      <w:r w:rsidR="003F65BC" w:rsidRPr="00F45D58">
        <w:rPr>
          <w:noProof/>
          <w:sz w:val="22"/>
          <w:szCs w:val="22"/>
          <w:lang w:val="de-DE"/>
        </w:rPr>
        <w:t xml:space="preserve"> –</w:t>
      </w:r>
      <w:r w:rsidRPr="00F45D58">
        <w:rPr>
          <w:noProof/>
          <w:sz w:val="22"/>
          <w:szCs w:val="22"/>
          <w:lang w:val="de-DE"/>
        </w:rPr>
        <w:t xml:space="preserve"> insbesondere der Schriftzug und die Farbenwahl</w:t>
      </w:r>
      <w:r w:rsidR="003F65BC" w:rsidRPr="00F45D58">
        <w:rPr>
          <w:noProof/>
          <w:sz w:val="22"/>
          <w:szCs w:val="22"/>
          <w:lang w:val="de-DE"/>
        </w:rPr>
        <w:t xml:space="preserve"> –</w:t>
      </w:r>
      <w:r w:rsidRPr="00F45D58">
        <w:rPr>
          <w:noProof/>
          <w:sz w:val="22"/>
          <w:szCs w:val="22"/>
          <w:lang w:val="de-DE"/>
        </w:rPr>
        <w:t xml:space="preserve"> weitgehend unverändert. B hält dieses Vorgehen für unzulässig und verlangt Unterlassung der Benutzung des Motivs. Zu Recht?</w:t>
      </w:r>
    </w:p>
    <w:p w:rsidR="00DC0593" w:rsidRPr="00F45D58" w:rsidRDefault="00DC0593" w:rsidP="001C1E19">
      <w:pPr>
        <w:pStyle w:val="Listenabsatz"/>
        <w:tabs>
          <w:tab w:val="center" w:pos="-1134"/>
          <w:tab w:val="left" w:pos="1983"/>
          <w:tab w:val="center" w:pos="4819"/>
        </w:tabs>
        <w:ind w:left="851" w:hanging="491"/>
        <w:jc w:val="both"/>
        <w:rPr>
          <w:noProof/>
          <w:sz w:val="22"/>
          <w:szCs w:val="22"/>
          <w:lang w:val="de-DE"/>
        </w:rPr>
      </w:pPr>
    </w:p>
    <w:p w:rsidR="00DC0593" w:rsidRPr="00F45D58" w:rsidRDefault="00DC0593" w:rsidP="00F45D58">
      <w:pPr>
        <w:tabs>
          <w:tab w:val="center" w:pos="-1134"/>
          <w:tab w:val="left" w:pos="1983"/>
          <w:tab w:val="center" w:pos="4819"/>
        </w:tabs>
        <w:jc w:val="both"/>
        <w:rPr>
          <w:b/>
          <w:noProof/>
          <w:sz w:val="22"/>
          <w:szCs w:val="22"/>
          <w:lang w:val="de-DE"/>
        </w:rPr>
      </w:pPr>
    </w:p>
    <w:p w:rsidR="00DC0593" w:rsidRPr="00F45D58" w:rsidRDefault="003F65BC" w:rsidP="00F45D58">
      <w:pPr>
        <w:jc w:val="both"/>
        <w:rPr>
          <w:b/>
          <w:sz w:val="22"/>
          <w:szCs w:val="22"/>
          <w:u w:val="single"/>
          <w:lang w:val="de-DE"/>
        </w:rPr>
      </w:pPr>
      <w:r w:rsidRPr="00F45D58">
        <w:rPr>
          <w:sz w:val="22"/>
          <w:szCs w:val="22"/>
        </w:rPr>
        <w:t xml:space="preserve">               </w:t>
      </w:r>
      <w:r w:rsidR="00DC0593" w:rsidRPr="00F45D58">
        <w:rPr>
          <w:sz w:val="22"/>
          <w:szCs w:val="22"/>
        </w:rPr>
        <w:object w:dxaOrig="3000" w:dyaOrig="30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pt;height:152.25pt" o:ole="">
            <v:imagedata r:id="rId8" o:title=""/>
          </v:shape>
          <o:OLEObject Type="Embed" ProgID="MSPhotoEd.3" ShapeID="_x0000_i1025" DrawAspect="Content" ObjectID="_1646737814" r:id="rId9"/>
        </w:object>
      </w:r>
      <w:r w:rsidR="00DC0593" w:rsidRPr="00F45D58">
        <w:rPr>
          <w:sz w:val="22"/>
          <w:szCs w:val="22"/>
        </w:rPr>
        <w:tab/>
      </w:r>
      <w:r w:rsidR="00DC0593" w:rsidRPr="00F45D58">
        <w:rPr>
          <w:sz w:val="22"/>
          <w:szCs w:val="22"/>
        </w:rPr>
        <w:tab/>
      </w:r>
      <w:r w:rsidR="00DC0593" w:rsidRPr="00F45D58">
        <w:rPr>
          <w:sz w:val="22"/>
          <w:szCs w:val="22"/>
        </w:rPr>
        <w:tab/>
      </w:r>
      <w:r w:rsidRPr="00F45D58">
        <w:rPr>
          <w:sz w:val="22"/>
          <w:szCs w:val="22"/>
        </w:rPr>
        <w:object w:dxaOrig="3000" w:dyaOrig="3045">
          <v:shape id="_x0000_i1026" type="#_x0000_t75" style="width:150pt;height:152.25pt" o:ole="">
            <v:imagedata r:id="rId10" o:title=""/>
          </v:shape>
          <o:OLEObject Type="Embed" ProgID="MSPhotoEd.3" ShapeID="_x0000_i1026" DrawAspect="Content" ObjectID="_1646737815" r:id="rId11"/>
        </w:object>
      </w:r>
      <w:r w:rsidR="00DC0593" w:rsidRPr="00F45D58">
        <w:rPr>
          <w:sz w:val="22"/>
          <w:szCs w:val="22"/>
        </w:rPr>
        <w:tab/>
      </w:r>
      <w:r w:rsidR="00DC0593" w:rsidRPr="00F45D58">
        <w:rPr>
          <w:sz w:val="22"/>
          <w:szCs w:val="22"/>
        </w:rPr>
        <w:tab/>
      </w:r>
    </w:p>
    <w:p w:rsidR="00DC0593" w:rsidRPr="00F45D58" w:rsidRDefault="00DC0593" w:rsidP="001C1E19">
      <w:pPr>
        <w:pStyle w:val="Listenabsatz"/>
        <w:numPr>
          <w:ilvl w:val="0"/>
          <w:numId w:val="3"/>
        </w:numPr>
        <w:ind w:left="851" w:hanging="491"/>
        <w:jc w:val="both"/>
        <w:rPr>
          <w:sz w:val="22"/>
          <w:szCs w:val="22"/>
          <w:lang w:val="de-DE"/>
        </w:rPr>
      </w:pPr>
      <w:r w:rsidRPr="00F45D58">
        <w:rPr>
          <w:sz w:val="22"/>
          <w:szCs w:val="22"/>
          <w:lang w:val="de-DE"/>
        </w:rPr>
        <w:t xml:space="preserve">Die Deutsche Bahn </w:t>
      </w:r>
      <w:r w:rsidR="003F65BC" w:rsidRPr="00F45D58">
        <w:rPr>
          <w:sz w:val="22"/>
          <w:szCs w:val="22"/>
          <w:lang w:val="de-DE"/>
        </w:rPr>
        <w:t xml:space="preserve">(DB) </w:t>
      </w:r>
      <w:r w:rsidRPr="00F45D58">
        <w:rPr>
          <w:sz w:val="22"/>
          <w:szCs w:val="22"/>
          <w:lang w:val="de-DE"/>
        </w:rPr>
        <w:t xml:space="preserve">klagt gegen ein Ingenieurbüro I. I betreibt eine Einrichtung für </w:t>
      </w:r>
      <w:r w:rsidRPr="00F45D58">
        <w:rPr>
          <w:sz w:val="22"/>
          <w:szCs w:val="22"/>
          <w:lang w:val="de-DE"/>
        </w:rPr>
        <w:lastRenderedPageBreak/>
        <w:t xml:space="preserve">angewandte Forschung, die sich mit Schienenfahrzeugtechnik befasst. Sie entwickelte für die </w:t>
      </w:r>
      <w:r w:rsidR="003F65BC" w:rsidRPr="00F45D58">
        <w:rPr>
          <w:sz w:val="22"/>
          <w:szCs w:val="22"/>
          <w:lang w:val="de-DE"/>
        </w:rPr>
        <w:t>DB</w:t>
      </w:r>
      <w:r w:rsidRPr="00F45D58">
        <w:rPr>
          <w:sz w:val="22"/>
          <w:szCs w:val="22"/>
          <w:lang w:val="de-DE"/>
        </w:rPr>
        <w:t xml:space="preserve"> eine Radsatzprüfanlage für den </w:t>
      </w:r>
      <w:proofErr w:type="spellStart"/>
      <w:r w:rsidRPr="00F45D58">
        <w:rPr>
          <w:sz w:val="22"/>
          <w:szCs w:val="22"/>
          <w:lang w:val="de-DE"/>
        </w:rPr>
        <w:t>Zugtyp</w:t>
      </w:r>
      <w:proofErr w:type="spellEnd"/>
      <w:r w:rsidRPr="00F45D58">
        <w:rPr>
          <w:sz w:val="22"/>
          <w:szCs w:val="22"/>
          <w:lang w:val="de-DE"/>
        </w:rPr>
        <w:t xml:space="preserve"> ICE 1. Im Ausstellerkatalog der Fachmesse „</w:t>
      </w:r>
      <w:proofErr w:type="spellStart"/>
      <w:r w:rsidRPr="00F45D58">
        <w:rPr>
          <w:sz w:val="22"/>
          <w:szCs w:val="22"/>
          <w:lang w:val="de-DE"/>
        </w:rPr>
        <w:t>InnoTrans</w:t>
      </w:r>
      <w:proofErr w:type="spellEnd"/>
      <w:r w:rsidRPr="00F45D58">
        <w:rPr>
          <w:sz w:val="22"/>
          <w:szCs w:val="22"/>
          <w:lang w:val="de-DE"/>
        </w:rPr>
        <w:t xml:space="preserve"> 2004” warb sie für ihre Leistungen mit der nachfolgend abgebildeten Katalogseite, auf der ihr Leistungsspektrum und der aktuelle Forschungsbedarf in der Schienenfahrzeugtechnik dargestellt sind und der Triebwagen eines Zugs vom Typ ICE 3 abgebildet ist:</w:t>
      </w:r>
    </w:p>
    <w:p w:rsidR="00DC0593" w:rsidRPr="00F45D58" w:rsidRDefault="00DC0593" w:rsidP="001C1E19">
      <w:pPr>
        <w:pStyle w:val="Listenabsatz"/>
        <w:ind w:left="851" w:hanging="491"/>
        <w:jc w:val="both"/>
        <w:rPr>
          <w:sz w:val="22"/>
          <w:szCs w:val="22"/>
          <w:lang w:val="de-DE"/>
        </w:rPr>
      </w:pPr>
    </w:p>
    <w:p w:rsidR="003F65BC" w:rsidRDefault="00DC0593" w:rsidP="001C1E19">
      <w:pPr>
        <w:ind w:left="851" w:hanging="491"/>
        <w:jc w:val="center"/>
        <w:rPr>
          <w:b/>
          <w:sz w:val="22"/>
          <w:szCs w:val="22"/>
          <w:u w:val="single"/>
          <w:lang w:val="de-DE"/>
        </w:rPr>
      </w:pPr>
      <w:r w:rsidRPr="00F45D58">
        <w:rPr>
          <w:b/>
          <w:noProof/>
          <w:sz w:val="22"/>
          <w:szCs w:val="22"/>
          <w:u w:val="single"/>
          <w:lang w:val="de-DE"/>
        </w:rPr>
        <w:drawing>
          <wp:inline distT="0" distB="0" distL="0" distR="0" wp14:anchorId="2CDAE838" wp14:editId="650B7DA4">
            <wp:extent cx="3004766" cy="348615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04766" cy="3486150"/>
                    </a:xfrm>
                    <a:prstGeom prst="rect">
                      <a:avLst/>
                    </a:prstGeom>
                    <a:noFill/>
                    <a:ln>
                      <a:noFill/>
                    </a:ln>
                  </pic:spPr>
                </pic:pic>
              </a:graphicData>
            </a:graphic>
          </wp:inline>
        </w:drawing>
      </w:r>
    </w:p>
    <w:p w:rsidR="006016F2" w:rsidRPr="00F45D58" w:rsidRDefault="006016F2" w:rsidP="001C1E19">
      <w:pPr>
        <w:ind w:left="851" w:hanging="491"/>
        <w:jc w:val="center"/>
        <w:rPr>
          <w:b/>
          <w:sz w:val="22"/>
          <w:szCs w:val="22"/>
          <w:u w:val="single"/>
          <w:lang w:val="de-DE"/>
        </w:rPr>
      </w:pPr>
    </w:p>
    <w:p w:rsidR="00DC0593" w:rsidRPr="00F45D58" w:rsidRDefault="00DC0593" w:rsidP="001C1E19">
      <w:pPr>
        <w:ind w:left="851"/>
        <w:jc w:val="both"/>
        <w:rPr>
          <w:sz w:val="22"/>
          <w:szCs w:val="22"/>
          <w:lang w:val="de-DE"/>
        </w:rPr>
      </w:pPr>
      <w:r w:rsidRPr="00F45D58">
        <w:rPr>
          <w:sz w:val="22"/>
          <w:szCs w:val="22"/>
          <w:lang w:val="de-DE"/>
        </w:rPr>
        <w:t>Die DB wies I wegen dieser Abbildung des Zugs im Katalog unter Hinweis auf die</w:t>
      </w:r>
      <w:r w:rsidR="003F65BC" w:rsidRPr="00F45D58">
        <w:rPr>
          <w:sz w:val="22"/>
          <w:szCs w:val="22"/>
          <w:lang w:val="de-DE"/>
        </w:rPr>
        <w:t xml:space="preserve"> </w:t>
      </w:r>
      <w:r w:rsidRPr="00F45D58">
        <w:rPr>
          <w:sz w:val="22"/>
          <w:szCs w:val="22"/>
          <w:lang w:val="de-DE"/>
        </w:rPr>
        <w:t>Aktenzeichen M9507883</w:t>
      </w:r>
      <w:r w:rsidR="003F65BC" w:rsidRPr="00F45D58">
        <w:rPr>
          <w:sz w:val="22"/>
          <w:szCs w:val="22"/>
          <w:lang w:val="de-DE"/>
        </w:rPr>
        <w:t>/</w:t>
      </w:r>
      <w:r w:rsidRPr="00F45D58">
        <w:rPr>
          <w:sz w:val="22"/>
          <w:szCs w:val="22"/>
          <w:lang w:val="de-DE"/>
        </w:rPr>
        <w:t xml:space="preserve">5 des DPMA sowie DM/035887 der Weltorganisation für geistiges Eigentum darauf hin, dass sie Inhaberin der den ICE 3 betreffenden </w:t>
      </w:r>
      <w:r w:rsidRPr="00AC420A">
        <w:rPr>
          <w:sz w:val="22"/>
          <w:szCs w:val="22"/>
          <w:lang w:val="de-DE"/>
        </w:rPr>
        <w:t>Geschmacksmuster</w:t>
      </w:r>
      <w:r w:rsidRPr="00F45D58">
        <w:rPr>
          <w:sz w:val="22"/>
          <w:szCs w:val="22"/>
          <w:lang w:val="de-DE"/>
        </w:rPr>
        <w:t xml:space="preserve"> sei. Sie verlangte von I den Nachweis einer Nutzungslizenz und erklärte, dass sie sich im Falle des Fehlens einer Lizenz ihre Inanspruchnahme auf Schadensersatz und Unterlassung vorbehalte (BGH, GRUR 2011, 1117).</w:t>
      </w:r>
    </w:p>
    <w:p w:rsidR="00B4096E" w:rsidRPr="00F45D58" w:rsidRDefault="00B4096E" w:rsidP="001C1E19">
      <w:pPr>
        <w:jc w:val="both"/>
        <w:rPr>
          <w:sz w:val="22"/>
          <w:szCs w:val="22"/>
          <w:lang w:val="de-DE"/>
        </w:rPr>
      </w:pPr>
    </w:p>
    <w:sectPr w:rsidR="00B4096E" w:rsidRPr="00F45D58" w:rsidSect="004F6F11">
      <w:head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16F2" w:rsidRDefault="006016F2" w:rsidP="006016F2">
      <w:r>
        <w:separator/>
      </w:r>
    </w:p>
  </w:endnote>
  <w:endnote w:type="continuationSeparator" w:id="0">
    <w:p w:rsidR="006016F2" w:rsidRDefault="006016F2" w:rsidP="00601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16F2" w:rsidRDefault="006016F2" w:rsidP="006016F2">
      <w:r>
        <w:separator/>
      </w:r>
    </w:p>
  </w:footnote>
  <w:footnote w:type="continuationSeparator" w:id="0">
    <w:p w:rsidR="006016F2" w:rsidRDefault="006016F2" w:rsidP="006016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6F2" w:rsidRDefault="006016F2">
    <w:pPr>
      <w:pStyle w:val="Kopfzeile"/>
      <w:rPr>
        <w:sz w:val="22"/>
      </w:rPr>
    </w:pPr>
    <w:r w:rsidRPr="00F45D58">
      <w:rPr>
        <w:sz w:val="22"/>
      </w:rPr>
      <w:t>Prof. Dr. Thomas Hoeren</w:t>
    </w:r>
  </w:p>
  <w:p w:rsidR="006016F2" w:rsidRPr="00F45D58" w:rsidRDefault="006016F2">
    <w:pPr>
      <w:pStyle w:val="Kopfzeile"/>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41263"/>
    <w:multiLevelType w:val="hybridMultilevel"/>
    <w:tmpl w:val="264813AC"/>
    <w:lvl w:ilvl="0" w:tplc="F510E9B8">
      <w:start w:val="1"/>
      <w:numFmt w:val="upperRoman"/>
      <w:lvlText w:val="%1."/>
      <w:lvlJc w:val="left"/>
      <w:pPr>
        <w:ind w:left="720" w:hanging="720"/>
      </w:pPr>
      <w:rPr>
        <w:rFonts w:hint="default"/>
        <w:u w:val="none"/>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449D75E1"/>
    <w:multiLevelType w:val="multilevel"/>
    <w:tmpl w:val="12F45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B70918"/>
    <w:multiLevelType w:val="hybridMultilevel"/>
    <w:tmpl w:val="CEF6513A"/>
    <w:lvl w:ilvl="0" w:tplc="A2029EB4">
      <w:start w:val="1"/>
      <w:numFmt w:val="decimal"/>
      <w:lvlText w:val="%1."/>
      <w:lvlJc w:val="left"/>
      <w:pPr>
        <w:ind w:left="825" w:hanging="465"/>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8102DC0"/>
    <w:multiLevelType w:val="hybridMultilevel"/>
    <w:tmpl w:val="11869C48"/>
    <w:lvl w:ilvl="0" w:tplc="17600424">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1E35C3F"/>
    <w:multiLevelType w:val="hybridMultilevel"/>
    <w:tmpl w:val="EFCA993C"/>
    <w:lvl w:ilvl="0" w:tplc="CA1885EA">
      <w:start w:val="1"/>
      <w:numFmt w:val="low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88F"/>
    <w:rsid w:val="00021B30"/>
    <w:rsid w:val="000D6FE8"/>
    <w:rsid w:val="000E7688"/>
    <w:rsid w:val="00163140"/>
    <w:rsid w:val="001C1E19"/>
    <w:rsid w:val="002177B3"/>
    <w:rsid w:val="0033409F"/>
    <w:rsid w:val="00336BB6"/>
    <w:rsid w:val="003F15C7"/>
    <w:rsid w:val="003F65BC"/>
    <w:rsid w:val="00427D5B"/>
    <w:rsid w:val="004413D5"/>
    <w:rsid w:val="004C16DE"/>
    <w:rsid w:val="004F6F11"/>
    <w:rsid w:val="00526BE5"/>
    <w:rsid w:val="006016F2"/>
    <w:rsid w:val="007D6063"/>
    <w:rsid w:val="008557AA"/>
    <w:rsid w:val="008B190F"/>
    <w:rsid w:val="008D757A"/>
    <w:rsid w:val="00AC420A"/>
    <w:rsid w:val="00B20766"/>
    <w:rsid w:val="00B4096E"/>
    <w:rsid w:val="00C32F21"/>
    <w:rsid w:val="00D76BFE"/>
    <w:rsid w:val="00DB488F"/>
    <w:rsid w:val="00DC0593"/>
    <w:rsid w:val="00DC2528"/>
    <w:rsid w:val="00E1287A"/>
    <w:rsid w:val="00F45D58"/>
    <w:rsid w:val="00F610E9"/>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8F122E98-A147-4035-96F3-D4D3EEF60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B488F"/>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DB488F"/>
    <w:rPr>
      <w:i w:val="0"/>
      <w:iCs w:val="0"/>
      <w:strike w:val="0"/>
      <w:dstrike w:val="0"/>
      <w:color w:val="000000"/>
      <w:u w:val="none"/>
      <w:effect w:val="none"/>
    </w:rPr>
  </w:style>
  <w:style w:type="character" w:customStyle="1" w:styleId="author2">
    <w:name w:val="author2"/>
    <w:basedOn w:val="Absatz-Standardschriftart"/>
    <w:rsid w:val="00DB488F"/>
    <w:rPr>
      <w:i/>
      <w:iCs/>
    </w:rPr>
  </w:style>
  <w:style w:type="character" w:customStyle="1" w:styleId="highlight">
    <w:name w:val="highlight"/>
    <w:basedOn w:val="Absatz-Standardschriftart"/>
    <w:rsid w:val="00DB488F"/>
  </w:style>
  <w:style w:type="paragraph" w:styleId="Sprechblasentext">
    <w:name w:val="Balloon Text"/>
    <w:basedOn w:val="Standard"/>
    <w:link w:val="SprechblasentextZchn"/>
    <w:uiPriority w:val="99"/>
    <w:semiHidden/>
    <w:unhideWhenUsed/>
    <w:rsid w:val="007D606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D6063"/>
    <w:rPr>
      <w:rFonts w:ascii="Tahoma" w:eastAsia="Times New Roman" w:hAnsi="Tahoma" w:cs="Tahoma"/>
      <w:sz w:val="16"/>
      <w:szCs w:val="16"/>
      <w:lang w:val="en-US" w:eastAsia="de-DE"/>
    </w:rPr>
  </w:style>
  <w:style w:type="character" w:customStyle="1" w:styleId="bfdesc">
    <w:name w:val="bf_desc"/>
    <w:basedOn w:val="Absatz-Standardschriftart"/>
    <w:rsid w:val="004413D5"/>
  </w:style>
  <w:style w:type="character" w:customStyle="1" w:styleId="titel">
    <w:name w:val="titel"/>
    <w:basedOn w:val="Absatz-Standardschriftart"/>
    <w:rsid w:val="004413D5"/>
  </w:style>
  <w:style w:type="paragraph" w:styleId="Listenabsatz">
    <w:name w:val="List Paragraph"/>
    <w:basedOn w:val="Standard"/>
    <w:uiPriority w:val="34"/>
    <w:qFormat/>
    <w:rsid w:val="00427D5B"/>
    <w:pPr>
      <w:ind w:left="720"/>
      <w:contextualSpacing/>
    </w:pPr>
  </w:style>
  <w:style w:type="paragraph" w:styleId="Kopfzeile">
    <w:name w:val="header"/>
    <w:basedOn w:val="Standard"/>
    <w:link w:val="KopfzeileZchn"/>
    <w:uiPriority w:val="99"/>
    <w:unhideWhenUsed/>
    <w:rsid w:val="006016F2"/>
    <w:pPr>
      <w:tabs>
        <w:tab w:val="center" w:pos="4536"/>
        <w:tab w:val="right" w:pos="9072"/>
      </w:tabs>
    </w:pPr>
  </w:style>
  <w:style w:type="character" w:customStyle="1" w:styleId="KopfzeileZchn">
    <w:name w:val="Kopfzeile Zchn"/>
    <w:basedOn w:val="Absatz-Standardschriftart"/>
    <w:link w:val="Kopfzeile"/>
    <w:uiPriority w:val="99"/>
    <w:rsid w:val="006016F2"/>
    <w:rPr>
      <w:rFonts w:ascii="Times New Roman" w:eastAsia="Times New Roman" w:hAnsi="Times New Roman" w:cs="Times New Roman"/>
      <w:sz w:val="24"/>
      <w:szCs w:val="24"/>
      <w:lang w:val="en-US" w:eastAsia="de-DE"/>
    </w:rPr>
  </w:style>
  <w:style w:type="paragraph" w:styleId="Fuzeile">
    <w:name w:val="footer"/>
    <w:basedOn w:val="Standard"/>
    <w:link w:val="FuzeileZchn"/>
    <w:uiPriority w:val="99"/>
    <w:unhideWhenUsed/>
    <w:rsid w:val="006016F2"/>
    <w:pPr>
      <w:tabs>
        <w:tab w:val="center" w:pos="4536"/>
        <w:tab w:val="right" w:pos="9072"/>
      </w:tabs>
    </w:pPr>
  </w:style>
  <w:style w:type="character" w:customStyle="1" w:styleId="FuzeileZchn">
    <w:name w:val="Fußzeile Zchn"/>
    <w:basedOn w:val="Absatz-Standardschriftart"/>
    <w:link w:val="Fuzeile"/>
    <w:uiPriority w:val="99"/>
    <w:rsid w:val="006016F2"/>
    <w:rPr>
      <w:rFonts w:ascii="Times New Roman" w:eastAsia="Times New Roman" w:hAnsi="Times New Roman" w:cs="Times New Roman"/>
      <w:sz w:val="24"/>
      <w:szCs w:val="24"/>
      <w:lang w:val="en-US" w:eastAsia="de-DE"/>
    </w:rPr>
  </w:style>
  <w:style w:type="paragraph" w:styleId="berarbeitung">
    <w:name w:val="Revision"/>
    <w:hidden/>
    <w:uiPriority w:val="99"/>
    <w:semiHidden/>
    <w:rsid w:val="00F45D58"/>
    <w:pPr>
      <w:spacing w:after="0" w:line="240" w:lineRule="auto"/>
    </w:pPr>
    <w:rPr>
      <w:rFonts w:ascii="Times New Roman" w:eastAsia="Times New Roman" w:hAnsi="Times New Roman" w:cs="Times New Roman"/>
      <w:sz w:val="24"/>
      <w:szCs w:val="24"/>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0178732">
      <w:bodyDiv w:val="1"/>
      <w:marLeft w:val="0"/>
      <w:marRight w:val="0"/>
      <w:marTop w:val="0"/>
      <w:marBottom w:val="0"/>
      <w:divBdr>
        <w:top w:val="none" w:sz="0" w:space="0" w:color="auto"/>
        <w:left w:val="none" w:sz="0" w:space="0" w:color="auto"/>
        <w:bottom w:val="none" w:sz="0" w:space="0" w:color="auto"/>
        <w:right w:val="none" w:sz="0" w:space="0" w:color="auto"/>
      </w:divBdr>
      <w:divsChild>
        <w:div w:id="1194268400">
          <w:marLeft w:val="0"/>
          <w:marRight w:val="0"/>
          <w:marTop w:val="0"/>
          <w:marBottom w:val="0"/>
          <w:divBdr>
            <w:top w:val="none" w:sz="0" w:space="0" w:color="auto"/>
            <w:left w:val="none" w:sz="0" w:space="0" w:color="auto"/>
            <w:bottom w:val="none" w:sz="0" w:space="0" w:color="auto"/>
            <w:right w:val="none" w:sz="0" w:space="0" w:color="auto"/>
          </w:divBdr>
          <w:divsChild>
            <w:div w:id="53936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E3EE7-2157-4502-B5F1-2977031CE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964</Words>
  <Characters>6078</Characters>
  <Application>Microsoft Office Word</Application>
  <DocSecurity>0</DocSecurity>
  <Lines>50</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Rechtswissenschaftliche Fakultät / IVV FB03</Company>
  <LinksUpToDate>false</LinksUpToDate>
  <CharactersWithSpaces>7028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epped</dc:creator>
  <cp:lastModifiedBy>Eppe, Doris</cp:lastModifiedBy>
  <cp:revision>3</cp:revision>
  <dcterms:created xsi:type="dcterms:W3CDTF">2020-03-26T13:07:00Z</dcterms:created>
  <dcterms:modified xsi:type="dcterms:W3CDTF">2020-03-26T13:24:00Z</dcterms:modified>
</cp:coreProperties>
</file>