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0D" w:rsidRDefault="0092090D" w:rsidP="006B643C">
      <w:pPr>
        <w:tabs>
          <w:tab w:val="center" w:pos="-1134"/>
          <w:tab w:val="left" w:pos="4190"/>
        </w:tabs>
        <w:jc w:val="both"/>
        <w:rPr>
          <w:rFonts w:asciiTheme="minorHAnsi" w:hAnsiTheme="minorHAnsi"/>
          <w:b/>
          <w:noProof/>
          <w:lang w:val="de-DE"/>
        </w:rPr>
      </w:pPr>
      <w:bookmarkStart w:id="0" w:name="_GoBack"/>
      <w:bookmarkEnd w:id="0"/>
    </w:p>
    <w:p w:rsidR="0092090D" w:rsidRPr="00D35045" w:rsidRDefault="0092090D" w:rsidP="00D35045">
      <w:pPr>
        <w:tabs>
          <w:tab w:val="center" w:pos="-1134"/>
          <w:tab w:val="left" w:pos="4190"/>
        </w:tabs>
        <w:jc w:val="center"/>
        <w:rPr>
          <w:b/>
          <w:noProof/>
          <w:sz w:val="26"/>
          <w:szCs w:val="26"/>
          <w:lang w:val="de-DE"/>
        </w:rPr>
      </w:pPr>
      <w:r w:rsidRPr="00D35045">
        <w:rPr>
          <w:b/>
          <w:noProof/>
          <w:sz w:val="26"/>
          <w:szCs w:val="26"/>
          <w:lang w:val="de-DE"/>
        </w:rPr>
        <w:t>Vorlesung Urheberrecht</w:t>
      </w:r>
    </w:p>
    <w:p w:rsidR="0092090D" w:rsidRDefault="0092090D" w:rsidP="00D35045">
      <w:pPr>
        <w:tabs>
          <w:tab w:val="center" w:pos="-1134"/>
          <w:tab w:val="left" w:pos="4190"/>
        </w:tabs>
        <w:jc w:val="center"/>
        <w:rPr>
          <w:b/>
          <w:noProof/>
          <w:sz w:val="26"/>
          <w:szCs w:val="26"/>
          <w:lang w:val="de-DE"/>
        </w:rPr>
      </w:pPr>
      <w:r w:rsidRPr="00D35045">
        <w:rPr>
          <w:b/>
          <w:noProof/>
          <w:sz w:val="26"/>
          <w:szCs w:val="26"/>
          <w:lang w:val="de-DE"/>
        </w:rPr>
        <w:t>Sommersemester 20</w:t>
      </w:r>
      <w:r w:rsidR="00A654B9">
        <w:rPr>
          <w:b/>
          <w:noProof/>
          <w:sz w:val="26"/>
          <w:szCs w:val="26"/>
          <w:lang w:val="de-DE"/>
        </w:rPr>
        <w:t>20</w:t>
      </w:r>
    </w:p>
    <w:p w:rsidR="0092090D" w:rsidRPr="00D35045" w:rsidRDefault="0092090D" w:rsidP="00D35045">
      <w:pPr>
        <w:tabs>
          <w:tab w:val="center" w:pos="-1134"/>
          <w:tab w:val="left" w:pos="4190"/>
        </w:tabs>
        <w:jc w:val="center"/>
        <w:rPr>
          <w:b/>
          <w:noProof/>
          <w:sz w:val="26"/>
          <w:szCs w:val="26"/>
          <w:lang w:val="de-DE"/>
        </w:rPr>
      </w:pPr>
    </w:p>
    <w:p w:rsidR="00C807B7" w:rsidRPr="00D35045" w:rsidRDefault="00C807B7" w:rsidP="006B643C">
      <w:pPr>
        <w:tabs>
          <w:tab w:val="center" w:pos="-1134"/>
          <w:tab w:val="left" w:pos="4190"/>
        </w:tabs>
        <w:jc w:val="both"/>
        <w:rPr>
          <w:b/>
          <w:noProof/>
          <w:sz w:val="22"/>
          <w:szCs w:val="22"/>
          <w:lang w:val="de-DE"/>
        </w:rPr>
      </w:pPr>
      <w:r w:rsidRPr="00D35045">
        <w:rPr>
          <w:b/>
          <w:noProof/>
          <w:sz w:val="22"/>
          <w:szCs w:val="22"/>
          <w:lang w:val="de-DE"/>
        </w:rPr>
        <w:t xml:space="preserve">Arbeitspapier Nr. 16: Grundzüge des </w:t>
      </w:r>
      <w:r w:rsidR="005F43DE" w:rsidRPr="00D35045">
        <w:rPr>
          <w:b/>
          <w:noProof/>
          <w:sz w:val="22"/>
          <w:szCs w:val="22"/>
          <w:lang w:val="de-DE"/>
        </w:rPr>
        <w:t>Design</w:t>
      </w:r>
      <w:r w:rsidRPr="00D35045">
        <w:rPr>
          <w:b/>
          <w:noProof/>
          <w:sz w:val="22"/>
          <w:szCs w:val="22"/>
          <w:lang w:val="de-DE"/>
        </w:rPr>
        <w:t>rechts</w:t>
      </w:r>
    </w:p>
    <w:p w:rsidR="00C807B7" w:rsidRPr="00D35045" w:rsidRDefault="00C807B7" w:rsidP="006B643C">
      <w:pPr>
        <w:tabs>
          <w:tab w:val="center" w:pos="-1134"/>
          <w:tab w:val="left" w:pos="1983"/>
          <w:tab w:val="center" w:pos="4819"/>
        </w:tabs>
        <w:jc w:val="both"/>
        <w:rPr>
          <w:noProof/>
          <w:sz w:val="22"/>
          <w:szCs w:val="22"/>
          <w:u w:val="single"/>
          <w:lang w:val="de-DE"/>
        </w:rPr>
      </w:pPr>
    </w:p>
    <w:p w:rsidR="00C807B7" w:rsidRPr="00D35045" w:rsidRDefault="00C807B7" w:rsidP="006B643C">
      <w:pPr>
        <w:tabs>
          <w:tab w:val="center" w:pos="-1134"/>
          <w:tab w:val="left" w:pos="1983"/>
          <w:tab w:val="center" w:pos="4819"/>
        </w:tabs>
        <w:jc w:val="both"/>
        <w:rPr>
          <w:b/>
          <w:noProof/>
          <w:sz w:val="22"/>
          <w:szCs w:val="22"/>
          <w:lang w:val="de-DE"/>
        </w:rPr>
      </w:pPr>
      <w:r w:rsidRPr="00D35045">
        <w:rPr>
          <w:b/>
          <w:noProof/>
          <w:sz w:val="22"/>
          <w:szCs w:val="22"/>
          <w:u w:val="single"/>
          <w:lang w:val="de-DE"/>
        </w:rPr>
        <w:t>Lösungen</w:t>
      </w:r>
      <w:r w:rsidRPr="00D35045">
        <w:rPr>
          <w:b/>
          <w:noProof/>
          <w:sz w:val="22"/>
          <w:szCs w:val="22"/>
          <w:lang w:val="de-DE"/>
        </w:rPr>
        <w:t>:</w:t>
      </w:r>
    </w:p>
    <w:p w:rsidR="00BD3CF8" w:rsidRPr="00D35045" w:rsidRDefault="00BD3CF8" w:rsidP="006B643C">
      <w:pPr>
        <w:tabs>
          <w:tab w:val="center" w:pos="-1134"/>
          <w:tab w:val="left" w:pos="1983"/>
          <w:tab w:val="center" w:pos="4819"/>
        </w:tabs>
        <w:jc w:val="both"/>
        <w:rPr>
          <w:b/>
          <w:noProof/>
          <w:sz w:val="22"/>
          <w:szCs w:val="22"/>
          <w:lang w:val="de-DE"/>
        </w:rPr>
      </w:pPr>
    </w:p>
    <w:p w:rsidR="00BD3CF8" w:rsidRPr="00D35045" w:rsidRDefault="00BD3CF8" w:rsidP="006B643C">
      <w:pPr>
        <w:tabs>
          <w:tab w:val="center" w:pos="-1134"/>
          <w:tab w:val="left" w:pos="1983"/>
          <w:tab w:val="center" w:pos="4819"/>
        </w:tabs>
        <w:jc w:val="both"/>
        <w:rPr>
          <w:noProof/>
          <w:sz w:val="22"/>
          <w:szCs w:val="22"/>
          <w:u w:val="single"/>
          <w:lang w:val="de-DE"/>
        </w:rPr>
      </w:pPr>
      <w:r w:rsidRPr="00D35045">
        <w:rPr>
          <w:b/>
          <w:noProof/>
          <w:sz w:val="22"/>
          <w:szCs w:val="22"/>
          <w:u w:val="single"/>
          <w:lang w:val="de-DE"/>
        </w:rPr>
        <w:t>Fall 1:</w:t>
      </w:r>
    </w:p>
    <w:p w:rsidR="00C807B7" w:rsidRPr="00D35045" w:rsidRDefault="00C807B7"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b/>
          <w:noProof/>
          <w:sz w:val="22"/>
          <w:szCs w:val="22"/>
          <w:lang w:val="de-DE"/>
        </w:rPr>
        <w:t>A.</w:t>
      </w:r>
      <w:r w:rsidRPr="00D35045">
        <w:rPr>
          <w:noProof/>
          <w:sz w:val="22"/>
          <w:szCs w:val="22"/>
          <w:lang w:val="de-DE"/>
        </w:rPr>
        <w:t xml:space="preserve"> B könnte gegen W ein Unterlassungsanspruch gem. § 42 Abs. 1 </w:t>
      </w:r>
      <w:r w:rsidR="005F43DE" w:rsidRPr="00D35045">
        <w:rPr>
          <w:noProof/>
          <w:sz w:val="22"/>
          <w:szCs w:val="22"/>
          <w:lang w:val="de-DE"/>
        </w:rPr>
        <w:t>DesignG</w:t>
      </w:r>
      <w:r w:rsidRPr="00D35045">
        <w:rPr>
          <w:noProof/>
          <w:sz w:val="22"/>
          <w:szCs w:val="22"/>
          <w:lang w:val="de-DE"/>
        </w:rPr>
        <w:t xml:space="preserve"> zustehen. </w:t>
      </w:r>
    </w:p>
    <w:p w:rsidR="00F9203C" w:rsidRPr="00D35045" w:rsidRDefault="00F9203C"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b/>
          <w:noProof/>
          <w:sz w:val="22"/>
          <w:szCs w:val="22"/>
          <w:lang w:val="de-DE"/>
        </w:rPr>
        <w:t>I.</w:t>
      </w:r>
      <w:r w:rsidRPr="00D35045">
        <w:rPr>
          <w:noProof/>
          <w:sz w:val="22"/>
          <w:szCs w:val="22"/>
          <w:lang w:val="de-DE"/>
        </w:rPr>
        <w:t xml:space="preserve"> Voraussetzung hierfür ist zunächst, dass ein geschütztes Motiv vorliegt. Für B ist zwar ein </w:t>
      </w:r>
      <w:r w:rsidR="005F43DE" w:rsidRPr="00D35045">
        <w:rPr>
          <w:noProof/>
          <w:sz w:val="22"/>
          <w:szCs w:val="22"/>
          <w:lang w:val="de-DE"/>
        </w:rPr>
        <w:t>Design</w:t>
      </w:r>
      <w:r w:rsidRPr="00D35045">
        <w:rPr>
          <w:noProof/>
          <w:sz w:val="22"/>
          <w:szCs w:val="22"/>
          <w:lang w:val="de-DE"/>
        </w:rPr>
        <w:t xml:space="preserve"> eingetragen; fraglich ist aber, ob die materiellen Schutzvorausssetzungen vorlagen. Diese können im Verletzungsprozess durch das Gericht überprüft werden, weil das </w:t>
      </w:r>
      <w:r w:rsidR="00CF0BF2" w:rsidRPr="00D35045">
        <w:rPr>
          <w:noProof/>
          <w:sz w:val="22"/>
          <w:szCs w:val="22"/>
          <w:lang w:val="de-DE"/>
        </w:rPr>
        <w:t xml:space="preserve">DPMA </w:t>
      </w:r>
      <w:r w:rsidRPr="00D35045">
        <w:rPr>
          <w:noProof/>
          <w:sz w:val="22"/>
          <w:szCs w:val="22"/>
          <w:lang w:val="de-DE"/>
        </w:rPr>
        <w:t xml:space="preserve">– anders als bei der Patenterteilung – die sachlichen Voraussetzungen des Schutzrechts nicht überprüft (vgl. § 16 </w:t>
      </w:r>
      <w:r w:rsidR="005F43DE" w:rsidRPr="00D35045">
        <w:rPr>
          <w:noProof/>
          <w:sz w:val="22"/>
          <w:szCs w:val="22"/>
          <w:lang w:val="de-DE"/>
        </w:rPr>
        <w:t>DesignG</w:t>
      </w:r>
      <w:r w:rsidRPr="00D35045">
        <w:rPr>
          <w:noProof/>
          <w:sz w:val="22"/>
          <w:szCs w:val="22"/>
          <w:lang w:val="de-DE"/>
        </w:rPr>
        <w:t>).</w:t>
      </w:r>
    </w:p>
    <w:p w:rsidR="006B643C" w:rsidRPr="00D35045" w:rsidRDefault="006B643C"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noProof/>
          <w:sz w:val="22"/>
          <w:szCs w:val="22"/>
          <w:lang w:val="de-DE"/>
        </w:rPr>
        <w:t xml:space="preserve">Beim T-Shirt handelt es sich um eine dreidimensionale ästhetische Gestaltung, folglich um ein </w:t>
      </w:r>
      <w:r w:rsidR="005F43DE" w:rsidRPr="00D35045">
        <w:rPr>
          <w:noProof/>
          <w:sz w:val="22"/>
          <w:szCs w:val="22"/>
          <w:lang w:val="de-DE"/>
        </w:rPr>
        <w:t>Design</w:t>
      </w:r>
      <w:r w:rsidRPr="00D35045">
        <w:rPr>
          <w:noProof/>
          <w:sz w:val="22"/>
          <w:szCs w:val="22"/>
          <w:lang w:val="de-DE"/>
        </w:rPr>
        <w:t xml:space="preserve"> i.S.d. § 1 Nr. 1 </w:t>
      </w:r>
      <w:r w:rsidR="005F43DE" w:rsidRPr="00D35045">
        <w:rPr>
          <w:noProof/>
          <w:sz w:val="22"/>
          <w:szCs w:val="22"/>
          <w:lang w:val="de-DE"/>
        </w:rPr>
        <w:t>DesignG</w:t>
      </w:r>
      <w:r w:rsidRPr="00D35045">
        <w:rPr>
          <w:noProof/>
          <w:sz w:val="22"/>
          <w:szCs w:val="22"/>
          <w:lang w:val="de-DE"/>
        </w:rPr>
        <w:t xml:space="preserve">. Ein solches genießt nach § 2 Abs. 1 </w:t>
      </w:r>
      <w:r w:rsidR="005F43DE" w:rsidRPr="00D35045">
        <w:rPr>
          <w:noProof/>
          <w:sz w:val="22"/>
          <w:szCs w:val="22"/>
          <w:lang w:val="de-DE"/>
        </w:rPr>
        <w:t>DesignG</w:t>
      </w:r>
      <w:r w:rsidRPr="00D35045">
        <w:rPr>
          <w:noProof/>
          <w:sz w:val="22"/>
          <w:szCs w:val="22"/>
          <w:lang w:val="de-DE"/>
        </w:rPr>
        <w:t xml:space="preserve"> nur dann Schutz, wenn es neu ist und Eigenart hat.</w:t>
      </w:r>
    </w:p>
    <w:p w:rsidR="00F9203C" w:rsidRPr="00D35045" w:rsidRDefault="00F9203C"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b/>
          <w:noProof/>
          <w:sz w:val="22"/>
          <w:szCs w:val="22"/>
          <w:lang w:val="de-DE"/>
        </w:rPr>
        <w:t>1.</w:t>
      </w:r>
      <w:r w:rsidRPr="00D35045">
        <w:rPr>
          <w:noProof/>
          <w:sz w:val="22"/>
          <w:szCs w:val="22"/>
          <w:lang w:val="de-DE"/>
        </w:rPr>
        <w:t xml:space="preserve"> Neu ist ein </w:t>
      </w:r>
      <w:r w:rsidR="005F43DE" w:rsidRPr="00D35045">
        <w:rPr>
          <w:noProof/>
          <w:sz w:val="22"/>
          <w:szCs w:val="22"/>
          <w:lang w:val="de-DE"/>
        </w:rPr>
        <w:t>Design</w:t>
      </w:r>
      <w:r w:rsidRPr="00D35045">
        <w:rPr>
          <w:noProof/>
          <w:sz w:val="22"/>
          <w:szCs w:val="22"/>
          <w:lang w:val="de-DE"/>
        </w:rPr>
        <w:t xml:space="preserve"> gem. § 2 Abs. 2 </w:t>
      </w:r>
      <w:r w:rsidR="005F43DE" w:rsidRPr="00D35045">
        <w:rPr>
          <w:noProof/>
          <w:sz w:val="22"/>
          <w:szCs w:val="22"/>
          <w:lang w:val="de-DE"/>
        </w:rPr>
        <w:t>DesignG</w:t>
      </w:r>
      <w:r w:rsidRPr="00D35045">
        <w:rPr>
          <w:noProof/>
          <w:sz w:val="22"/>
          <w:szCs w:val="22"/>
          <w:lang w:val="de-DE"/>
        </w:rPr>
        <w:t xml:space="preserve"> dann, wenn vor dem Anmeldetag bzw. dem Prioritätstag kein identisches </w:t>
      </w:r>
      <w:r w:rsidR="005F43DE" w:rsidRPr="00D35045">
        <w:rPr>
          <w:noProof/>
          <w:sz w:val="22"/>
          <w:szCs w:val="22"/>
          <w:lang w:val="de-DE"/>
        </w:rPr>
        <w:t>Design</w:t>
      </w:r>
      <w:r w:rsidRPr="00D35045">
        <w:rPr>
          <w:noProof/>
          <w:sz w:val="22"/>
          <w:szCs w:val="22"/>
          <w:lang w:val="de-DE"/>
        </w:rPr>
        <w:t xml:space="preserve"> offenbart worden ist. Nach § 5 S. 1 </w:t>
      </w:r>
      <w:r w:rsidR="005F43DE" w:rsidRPr="00D35045">
        <w:rPr>
          <w:noProof/>
          <w:sz w:val="22"/>
          <w:szCs w:val="22"/>
          <w:lang w:val="de-DE"/>
        </w:rPr>
        <w:t>DesignG</w:t>
      </w:r>
      <w:r w:rsidRPr="00D35045">
        <w:rPr>
          <w:noProof/>
          <w:sz w:val="22"/>
          <w:szCs w:val="22"/>
          <w:lang w:val="de-DE"/>
        </w:rPr>
        <w:t xml:space="preserve"> gilt ein </w:t>
      </w:r>
      <w:r w:rsidR="005F43DE" w:rsidRPr="00D35045">
        <w:rPr>
          <w:noProof/>
          <w:sz w:val="22"/>
          <w:szCs w:val="22"/>
          <w:lang w:val="de-DE"/>
        </w:rPr>
        <w:t>Design</w:t>
      </w:r>
      <w:r w:rsidRPr="00D35045">
        <w:rPr>
          <w:noProof/>
          <w:sz w:val="22"/>
          <w:szCs w:val="22"/>
          <w:lang w:val="de-DE"/>
        </w:rPr>
        <w:t xml:space="preserve"> als offenbart, wenn es bekanntgemacht, ausgestellt, im Verkehr verwendet oder auf sonstige Weise der Öffentlichkeit zugänglich gemacht wurde. Der Neuheitsbegriff wird dadurch relativiert, dass das, was den in der europäischen Gemeinschaft tätigen Fachkreisen des betreffenden Gebietes im normalen Geschäf</w:t>
      </w:r>
      <w:r w:rsidR="00CF0BF2" w:rsidRPr="00D35045">
        <w:rPr>
          <w:noProof/>
          <w:sz w:val="22"/>
          <w:szCs w:val="22"/>
          <w:lang w:val="de-DE"/>
        </w:rPr>
        <w:t>t</w:t>
      </w:r>
      <w:r w:rsidRPr="00D35045">
        <w:rPr>
          <w:noProof/>
          <w:sz w:val="22"/>
          <w:szCs w:val="22"/>
          <w:lang w:val="de-DE"/>
        </w:rPr>
        <w:t xml:space="preserve">sverlauf vor dem Anmeldetag des </w:t>
      </w:r>
      <w:r w:rsidR="005F43DE" w:rsidRPr="00D35045">
        <w:rPr>
          <w:noProof/>
          <w:sz w:val="22"/>
          <w:szCs w:val="22"/>
          <w:lang w:val="de-DE"/>
        </w:rPr>
        <w:t>Design</w:t>
      </w:r>
      <w:r w:rsidRPr="00D35045">
        <w:rPr>
          <w:noProof/>
          <w:sz w:val="22"/>
          <w:szCs w:val="22"/>
          <w:lang w:val="de-DE"/>
        </w:rPr>
        <w:t xml:space="preserve">s nicht bekannt sein konnte, oder wenn es einem Dritten lediglich unter der ausdrücklichen oder stillschweigenden Bedingung der Vertraulichkeit bekanntgemacht wurde, </w:t>
      </w:r>
      <w:r w:rsidR="00F9203C" w:rsidRPr="00D35045">
        <w:rPr>
          <w:noProof/>
          <w:sz w:val="22"/>
          <w:szCs w:val="22"/>
          <w:lang w:val="de-DE"/>
        </w:rPr>
        <w:t xml:space="preserve"> </w:t>
      </w:r>
      <w:r w:rsidRPr="00D35045">
        <w:rPr>
          <w:noProof/>
          <w:sz w:val="22"/>
          <w:szCs w:val="22"/>
          <w:lang w:val="de-DE"/>
        </w:rPr>
        <w:t>nicht als offenbart gilt. Das Bild des lächelnden Jungen in Kombination mit dem Schriftzug, sowie die Farbenwahl kann nach diesen Maßstäben Neuheit zugesprochen werden.</w:t>
      </w:r>
    </w:p>
    <w:p w:rsidR="00C807B7" w:rsidRPr="00D35045" w:rsidRDefault="00C807B7"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b/>
          <w:noProof/>
          <w:sz w:val="22"/>
          <w:szCs w:val="22"/>
          <w:lang w:val="de-DE"/>
        </w:rPr>
        <w:t>2.</w:t>
      </w:r>
      <w:r w:rsidRPr="00D35045">
        <w:rPr>
          <w:noProof/>
          <w:sz w:val="22"/>
          <w:szCs w:val="22"/>
          <w:lang w:val="de-DE"/>
        </w:rPr>
        <w:t xml:space="preserve"> Weiterhin müsste das </w:t>
      </w:r>
      <w:r w:rsidR="005F43DE" w:rsidRPr="00D35045">
        <w:rPr>
          <w:noProof/>
          <w:sz w:val="22"/>
          <w:szCs w:val="22"/>
          <w:lang w:val="de-DE"/>
        </w:rPr>
        <w:t>Design</w:t>
      </w:r>
      <w:r w:rsidRPr="00D35045">
        <w:rPr>
          <w:noProof/>
          <w:sz w:val="22"/>
          <w:szCs w:val="22"/>
          <w:lang w:val="de-DE"/>
        </w:rPr>
        <w:t xml:space="preserve"> aber auch Eigenart besitzen, § 2 Abs. 3 </w:t>
      </w:r>
      <w:r w:rsidR="005F43DE" w:rsidRPr="00D35045">
        <w:rPr>
          <w:noProof/>
          <w:sz w:val="22"/>
          <w:szCs w:val="22"/>
          <w:lang w:val="de-DE"/>
        </w:rPr>
        <w:t>DesignG</w:t>
      </w:r>
      <w:r w:rsidRPr="00D35045">
        <w:rPr>
          <w:noProof/>
          <w:sz w:val="22"/>
          <w:szCs w:val="22"/>
          <w:lang w:val="de-DE"/>
        </w:rPr>
        <w:t xml:space="preserve">. Eigenart ist gegeben, wenn sich der Gesamteindruck, den es beim informierten Benutzer hervorruft, von dem Gesamteindruck unterscheidet, den ein anderes </w:t>
      </w:r>
      <w:r w:rsidR="005F43DE" w:rsidRPr="00D35045">
        <w:rPr>
          <w:noProof/>
          <w:sz w:val="22"/>
          <w:szCs w:val="22"/>
          <w:lang w:val="de-DE"/>
        </w:rPr>
        <w:t>Design</w:t>
      </w:r>
      <w:r w:rsidRPr="00D35045">
        <w:rPr>
          <w:noProof/>
          <w:sz w:val="22"/>
          <w:szCs w:val="22"/>
          <w:lang w:val="de-DE"/>
        </w:rPr>
        <w:t xml:space="preserve"> bei diesem Benutzer hervorruft, das vor dem Anmeldetag bzw. Prioritätstag offenbart worden ist. Ein eigenpersönlicher Charakter ist nicht erforderlich. Hier ist aufgrund des individuellen Schriftzugs arrangiert mit dem kreisförmigen Bild des lächelnden Jungens und die knallorangene Farbe davon auszugehen, dass es um eine für den informierten Benutzer nicht nahe liegende Gestaltung handelt. Demzufolge besitzt das </w:t>
      </w:r>
      <w:r w:rsidR="005F43DE" w:rsidRPr="00D35045">
        <w:rPr>
          <w:noProof/>
          <w:sz w:val="22"/>
          <w:szCs w:val="22"/>
          <w:lang w:val="de-DE"/>
        </w:rPr>
        <w:t>Design</w:t>
      </w:r>
      <w:r w:rsidRPr="00D35045">
        <w:rPr>
          <w:noProof/>
          <w:sz w:val="22"/>
          <w:szCs w:val="22"/>
          <w:lang w:val="de-DE"/>
        </w:rPr>
        <w:t xml:space="preserve"> auch Eigenart.</w:t>
      </w:r>
    </w:p>
    <w:p w:rsidR="00C807B7" w:rsidRPr="00D35045" w:rsidRDefault="00C807B7" w:rsidP="006B643C">
      <w:pPr>
        <w:tabs>
          <w:tab w:val="center" w:pos="-1134"/>
          <w:tab w:val="left" w:pos="1983"/>
          <w:tab w:val="center" w:pos="4819"/>
        </w:tabs>
        <w:jc w:val="both"/>
        <w:rPr>
          <w:noProof/>
          <w:sz w:val="22"/>
          <w:szCs w:val="22"/>
          <w:lang w:val="de-DE"/>
        </w:rPr>
      </w:pPr>
    </w:p>
    <w:p w:rsidR="00C807B7" w:rsidRPr="00D35045" w:rsidRDefault="00C807B7" w:rsidP="006B643C">
      <w:pPr>
        <w:tabs>
          <w:tab w:val="center" w:pos="-1134"/>
          <w:tab w:val="left" w:pos="1983"/>
          <w:tab w:val="center" w:pos="4819"/>
        </w:tabs>
        <w:jc w:val="both"/>
        <w:rPr>
          <w:noProof/>
          <w:sz w:val="22"/>
          <w:szCs w:val="22"/>
          <w:lang w:val="de-DE"/>
        </w:rPr>
      </w:pPr>
      <w:r w:rsidRPr="00D35045">
        <w:rPr>
          <w:b/>
          <w:noProof/>
          <w:sz w:val="22"/>
          <w:szCs w:val="22"/>
          <w:lang w:val="de-DE"/>
        </w:rPr>
        <w:t>3.</w:t>
      </w:r>
      <w:r w:rsidRPr="00D35045">
        <w:rPr>
          <w:noProof/>
          <w:sz w:val="22"/>
          <w:szCs w:val="22"/>
          <w:lang w:val="de-DE"/>
        </w:rPr>
        <w:t xml:space="preserve"> Es handelt sich bei dem T-Shirt-Motiv also um eine </w:t>
      </w:r>
      <w:r w:rsidR="005F43DE" w:rsidRPr="00D35045">
        <w:rPr>
          <w:noProof/>
          <w:sz w:val="22"/>
          <w:szCs w:val="22"/>
          <w:lang w:val="de-DE"/>
        </w:rPr>
        <w:t>Design</w:t>
      </w:r>
      <w:r w:rsidRPr="00D35045">
        <w:rPr>
          <w:noProof/>
          <w:sz w:val="22"/>
          <w:szCs w:val="22"/>
          <w:lang w:val="de-DE"/>
        </w:rPr>
        <w:t>rechtlich geschütze Darstellung.</w:t>
      </w:r>
    </w:p>
    <w:p w:rsidR="00C807B7" w:rsidRPr="00D35045" w:rsidRDefault="00C807B7"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t>II.</w:t>
      </w:r>
      <w:r w:rsidRPr="00D35045">
        <w:rPr>
          <w:sz w:val="22"/>
          <w:szCs w:val="22"/>
          <w:lang w:val="de-DE"/>
        </w:rPr>
        <w:t xml:space="preserve"> Des Weiteren muss das </w:t>
      </w:r>
      <w:r w:rsidR="005F43DE" w:rsidRPr="00D35045">
        <w:rPr>
          <w:sz w:val="22"/>
          <w:szCs w:val="22"/>
          <w:lang w:val="de-DE"/>
        </w:rPr>
        <w:t>Design</w:t>
      </w:r>
      <w:r w:rsidRPr="00D35045">
        <w:rPr>
          <w:sz w:val="22"/>
          <w:szCs w:val="22"/>
          <w:lang w:val="de-DE"/>
        </w:rPr>
        <w:t xml:space="preserve"> der B auch verletzt worden sein. Der Schutzumfang eines </w:t>
      </w:r>
      <w:r w:rsidR="005F43DE" w:rsidRPr="00D35045">
        <w:rPr>
          <w:sz w:val="22"/>
          <w:szCs w:val="22"/>
          <w:lang w:val="de-DE"/>
        </w:rPr>
        <w:t>Design</w:t>
      </w:r>
      <w:r w:rsidRPr="00D35045">
        <w:rPr>
          <w:sz w:val="22"/>
          <w:szCs w:val="22"/>
          <w:lang w:val="de-DE"/>
        </w:rPr>
        <w:t xml:space="preserve">s richtet sich nach § 38 Abs. 1 </w:t>
      </w:r>
      <w:proofErr w:type="spellStart"/>
      <w:r w:rsidR="005F43DE" w:rsidRPr="00D35045">
        <w:rPr>
          <w:sz w:val="22"/>
          <w:szCs w:val="22"/>
          <w:lang w:val="de-DE"/>
        </w:rPr>
        <w:t>DesignG</w:t>
      </w:r>
      <w:proofErr w:type="spellEnd"/>
      <w:r w:rsidRPr="00D35045">
        <w:rPr>
          <w:sz w:val="22"/>
          <w:szCs w:val="22"/>
          <w:lang w:val="de-DE"/>
        </w:rPr>
        <w:t xml:space="preserve">. In der Gestaltung des Wahl-T-Shirts könnte eine unzulässige Nachahmung zu sehen sein. </w:t>
      </w:r>
    </w:p>
    <w:p w:rsidR="00F9203C" w:rsidRPr="00D35045" w:rsidRDefault="00F9203C"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t>1.</w:t>
      </w:r>
      <w:r w:rsidRPr="00D35045">
        <w:rPr>
          <w:sz w:val="22"/>
          <w:szCs w:val="22"/>
          <w:lang w:val="de-DE"/>
        </w:rPr>
        <w:t xml:space="preserve"> Hierfür ist zunächst erforderlich, dass das nachgebildete </w:t>
      </w:r>
      <w:r w:rsidR="005F43DE" w:rsidRPr="00D35045">
        <w:rPr>
          <w:sz w:val="22"/>
          <w:szCs w:val="22"/>
          <w:lang w:val="de-DE"/>
        </w:rPr>
        <w:t>Design</w:t>
      </w:r>
      <w:r w:rsidRPr="00D35045">
        <w:rPr>
          <w:sz w:val="22"/>
          <w:szCs w:val="22"/>
          <w:lang w:val="de-DE"/>
        </w:rPr>
        <w:t xml:space="preserve"> beim informierten Benutzer denselben Gesamteindruck erweckt wie das </w:t>
      </w:r>
      <w:r w:rsidR="005F43DE" w:rsidRPr="00D35045">
        <w:rPr>
          <w:sz w:val="22"/>
          <w:szCs w:val="22"/>
          <w:lang w:val="de-DE"/>
        </w:rPr>
        <w:t>Design</w:t>
      </w:r>
      <w:r w:rsidRPr="00D35045">
        <w:rPr>
          <w:sz w:val="22"/>
          <w:szCs w:val="22"/>
          <w:lang w:val="de-DE"/>
        </w:rPr>
        <w:t xml:space="preserve"> (objektive Nachahmung). Maßgeblich für die Frage des übereinstimmenden Gesamteindrucks sind die prägenden Merkmale. Hier beruht der geschützte ästhetische Eindruck insbesondere auf dem Bild des Jungen, zudem aber auch auf dem Schriftzug und der knallorangenen Farbenwahl. </w:t>
      </w:r>
      <w:proofErr w:type="spellStart"/>
      <w:r w:rsidRPr="00D35045">
        <w:rPr>
          <w:sz w:val="22"/>
          <w:szCs w:val="22"/>
          <w:lang w:val="de-DE"/>
        </w:rPr>
        <w:t>Aufgrunddessen</w:t>
      </w:r>
      <w:proofErr w:type="spellEnd"/>
      <w:r w:rsidRPr="00D35045">
        <w:rPr>
          <w:sz w:val="22"/>
          <w:szCs w:val="22"/>
          <w:lang w:val="de-DE"/>
        </w:rPr>
        <w:t xml:space="preserve">, dass sich zumindest zwei dieser prägenden Merkmale in dem Wahl-T-Shirt </w:t>
      </w:r>
      <w:proofErr w:type="gramStart"/>
      <w:r w:rsidRPr="00D35045">
        <w:rPr>
          <w:sz w:val="22"/>
          <w:szCs w:val="22"/>
          <w:lang w:val="de-DE"/>
        </w:rPr>
        <w:t>wieder finden</w:t>
      </w:r>
      <w:proofErr w:type="gramEnd"/>
      <w:r w:rsidRPr="00D35045">
        <w:rPr>
          <w:sz w:val="22"/>
          <w:szCs w:val="22"/>
          <w:lang w:val="de-DE"/>
        </w:rPr>
        <w:t>, wird man einen objektive Nachahmung bejahen können.</w:t>
      </w:r>
    </w:p>
    <w:p w:rsidR="00F9203C" w:rsidRPr="00D35045" w:rsidRDefault="00F9203C"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t>2.</w:t>
      </w:r>
      <w:r w:rsidRPr="00D35045">
        <w:rPr>
          <w:sz w:val="22"/>
          <w:szCs w:val="22"/>
          <w:lang w:val="de-DE"/>
        </w:rPr>
        <w:t xml:space="preserve"> Die Nachahmung setzt aber nicht nur einen objektiven, sondern auch einen subjektiven Tatbestand voraus, d.h. der Benutzer muss das </w:t>
      </w:r>
      <w:r w:rsidR="005F43DE" w:rsidRPr="00D35045">
        <w:rPr>
          <w:sz w:val="22"/>
          <w:szCs w:val="22"/>
          <w:lang w:val="de-DE"/>
        </w:rPr>
        <w:t>Design</w:t>
      </w:r>
      <w:r w:rsidRPr="00D35045">
        <w:rPr>
          <w:sz w:val="22"/>
          <w:szCs w:val="22"/>
          <w:lang w:val="de-DE"/>
        </w:rPr>
        <w:t xml:space="preserve"> auch gekannt haben (subjektive Nachahmung). Das Kennen bedeutet dabei nicht, dass der Benutzer Kenntnis davon haben muss, dass das Design zum </w:t>
      </w:r>
      <w:r w:rsidR="005F43DE" w:rsidRPr="00D35045">
        <w:rPr>
          <w:sz w:val="22"/>
          <w:szCs w:val="22"/>
          <w:lang w:val="de-DE"/>
        </w:rPr>
        <w:t>Design</w:t>
      </w:r>
      <w:r w:rsidRPr="00D35045">
        <w:rPr>
          <w:sz w:val="22"/>
          <w:szCs w:val="22"/>
          <w:lang w:val="de-DE"/>
        </w:rPr>
        <w:t xml:space="preserve"> angemeldet wurde. Ausreichend ist, dass er das Design als solches kennt. Dadurch, dass es sich bei dem Motiv der B um ein häufig in der Werbung verwendetes Motiv handelt, wird man eine Kenntnis des W annehmen müssen.</w:t>
      </w:r>
    </w:p>
    <w:p w:rsidR="00C807B7" w:rsidRPr="00D35045" w:rsidRDefault="00C807B7"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t>3.</w:t>
      </w:r>
      <w:r w:rsidRPr="00D35045">
        <w:rPr>
          <w:sz w:val="22"/>
          <w:szCs w:val="22"/>
          <w:lang w:val="de-DE"/>
        </w:rPr>
        <w:t xml:space="preserve"> Eine unzulässige Nachahmung ist daher zu bejahen.</w:t>
      </w:r>
    </w:p>
    <w:p w:rsidR="00C807B7" w:rsidRPr="00D35045" w:rsidRDefault="00C807B7"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lastRenderedPageBreak/>
        <w:t>III.</w:t>
      </w:r>
      <w:r w:rsidRPr="00D35045">
        <w:rPr>
          <w:sz w:val="22"/>
          <w:szCs w:val="22"/>
          <w:lang w:val="de-DE"/>
        </w:rPr>
        <w:t xml:space="preserve"> Ein Anspruch auf Unterlassung gem. § 42 Abs. 1 </w:t>
      </w:r>
      <w:proofErr w:type="spellStart"/>
      <w:r w:rsidR="005F43DE" w:rsidRPr="00D35045">
        <w:rPr>
          <w:sz w:val="22"/>
          <w:szCs w:val="22"/>
          <w:lang w:val="de-DE"/>
        </w:rPr>
        <w:t>DesignG</w:t>
      </w:r>
      <w:proofErr w:type="spellEnd"/>
      <w:r w:rsidRPr="00D35045">
        <w:rPr>
          <w:sz w:val="22"/>
          <w:szCs w:val="22"/>
          <w:lang w:val="de-DE"/>
        </w:rPr>
        <w:t xml:space="preserve"> ist folglich gegeben.</w:t>
      </w:r>
    </w:p>
    <w:p w:rsidR="00C807B7" w:rsidRPr="00D35045" w:rsidRDefault="00C807B7" w:rsidP="006B643C">
      <w:pPr>
        <w:jc w:val="both"/>
        <w:rPr>
          <w:sz w:val="22"/>
          <w:szCs w:val="22"/>
          <w:lang w:val="de-DE"/>
        </w:rPr>
      </w:pPr>
    </w:p>
    <w:p w:rsidR="00C807B7" w:rsidRPr="00D35045" w:rsidRDefault="00C807B7" w:rsidP="006B643C">
      <w:pPr>
        <w:jc w:val="both"/>
        <w:rPr>
          <w:sz w:val="22"/>
          <w:szCs w:val="22"/>
          <w:lang w:val="de-DE"/>
        </w:rPr>
      </w:pPr>
      <w:r w:rsidRPr="00D35045">
        <w:rPr>
          <w:b/>
          <w:sz w:val="22"/>
          <w:szCs w:val="22"/>
          <w:lang w:val="de-DE"/>
        </w:rPr>
        <w:t>B.</w:t>
      </w:r>
      <w:r w:rsidRPr="00D35045">
        <w:rPr>
          <w:sz w:val="22"/>
          <w:szCs w:val="22"/>
          <w:lang w:val="de-DE"/>
        </w:rPr>
        <w:t xml:space="preserve"> Denkbar wäre zudem ein Unterlassungsanspruch gem. § 97 Abs. 1 S. 1 UrhG. Dieser scheitert aber bereits mangels eines schutzfähigen Werkes i.S.d. § 2 UrhG. Das T-Shirt-Motiv weist insoweit nicht ein ausreichendes Maß an Individualität i.S.d. § 2 Abs. 2 UrhG auf. </w:t>
      </w:r>
    </w:p>
    <w:p w:rsidR="00C807B7" w:rsidRPr="00D35045" w:rsidRDefault="00C807B7" w:rsidP="006B643C">
      <w:pPr>
        <w:jc w:val="both"/>
        <w:rPr>
          <w:sz w:val="22"/>
          <w:szCs w:val="22"/>
          <w:lang w:val="de-DE"/>
        </w:rPr>
      </w:pPr>
    </w:p>
    <w:p w:rsidR="00C807B7" w:rsidRPr="00D35045" w:rsidRDefault="00C807B7" w:rsidP="00D35045">
      <w:pPr>
        <w:jc w:val="both"/>
        <w:rPr>
          <w:sz w:val="22"/>
          <w:szCs w:val="22"/>
          <w:lang w:val="de-DE"/>
        </w:rPr>
      </w:pPr>
    </w:p>
    <w:p w:rsidR="00C807B7" w:rsidRPr="00D35045" w:rsidRDefault="00C807B7" w:rsidP="006B643C">
      <w:pPr>
        <w:jc w:val="both"/>
        <w:rPr>
          <w:b/>
          <w:sz w:val="22"/>
          <w:szCs w:val="22"/>
          <w:u w:val="single"/>
          <w:lang w:val="de-DE"/>
        </w:rPr>
      </w:pPr>
      <w:r w:rsidRPr="00D35045">
        <w:rPr>
          <w:b/>
          <w:sz w:val="22"/>
          <w:szCs w:val="22"/>
          <w:u w:val="single"/>
          <w:lang w:val="de-DE"/>
        </w:rPr>
        <w:t>Fall 2</w:t>
      </w:r>
      <w:r w:rsidR="006B643C" w:rsidRPr="00D35045">
        <w:rPr>
          <w:b/>
          <w:sz w:val="22"/>
          <w:szCs w:val="22"/>
          <w:u w:val="single"/>
          <w:lang w:val="de-DE"/>
        </w:rPr>
        <w:t>:</w:t>
      </w:r>
    </w:p>
    <w:p w:rsidR="00C807B7" w:rsidRPr="00D35045" w:rsidRDefault="00C807B7" w:rsidP="006B643C">
      <w:pPr>
        <w:pStyle w:val="StandardWeb"/>
        <w:jc w:val="both"/>
        <w:rPr>
          <w:sz w:val="22"/>
          <w:szCs w:val="22"/>
        </w:rPr>
      </w:pPr>
      <w:r w:rsidRPr="00D35045">
        <w:rPr>
          <w:sz w:val="22"/>
          <w:szCs w:val="22"/>
        </w:rPr>
        <w:t xml:space="preserve">Die Abbildung eines </w:t>
      </w:r>
      <w:r w:rsidR="005F43DE" w:rsidRPr="00D35045">
        <w:rPr>
          <w:sz w:val="22"/>
          <w:szCs w:val="22"/>
        </w:rPr>
        <w:t>Design</w:t>
      </w:r>
      <w:r w:rsidRPr="00D35045">
        <w:rPr>
          <w:sz w:val="22"/>
          <w:szCs w:val="22"/>
        </w:rPr>
        <w:t>s in einem Katalog</w:t>
      </w:r>
      <w:r w:rsidR="004A0A29" w:rsidRPr="00D35045">
        <w:rPr>
          <w:sz w:val="22"/>
          <w:szCs w:val="22"/>
        </w:rPr>
        <w:t xml:space="preserve"> gehört</w:t>
      </w:r>
      <w:r w:rsidRPr="00D35045">
        <w:rPr>
          <w:sz w:val="22"/>
          <w:szCs w:val="22"/>
        </w:rPr>
        <w:t xml:space="preserve"> grundsätzlich zu den Benutzungshandlungen, die nach </w:t>
      </w:r>
      <w:r w:rsidRPr="00D35045">
        <w:rPr>
          <w:rStyle w:val="zit"/>
          <w:sz w:val="22"/>
          <w:szCs w:val="22"/>
        </w:rPr>
        <w:t xml:space="preserve">§ 38 </w:t>
      </w:r>
      <w:proofErr w:type="spellStart"/>
      <w:r w:rsidR="005F43DE" w:rsidRPr="00D35045">
        <w:rPr>
          <w:rStyle w:val="zit"/>
          <w:sz w:val="22"/>
          <w:szCs w:val="22"/>
        </w:rPr>
        <w:t>DesignG</w:t>
      </w:r>
      <w:proofErr w:type="spellEnd"/>
      <w:r w:rsidRPr="00D35045">
        <w:rPr>
          <w:sz w:val="22"/>
          <w:szCs w:val="22"/>
        </w:rPr>
        <w:t xml:space="preserve"> ausschließlich dem Rechtsinhaber vorbehalten sind</w:t>
      </w:r>
      <w:bookmarkStart w:id="1" w:name="Y-200-GE-BGH-AZ-IZR5609-D-2011-04-07-RN-"/>
      <w:bookmarkStart w:id="2" w:name="Y-300-Z-GRUR-B-2011-S-1117-RN-30"/>
      <w:bookmarkEnd w:id="1"/>
      <w:bookmarkEnd w:id="2"/>
      <w:r w:rsidRPr="00D35045">
        <w:rPr>
          <w:sz w:val="22"/>
          <w:szCs w:val="22"/>
        </w:rPr>
        <w:t xml:space="preserve">. Eine Benutzung schließt insbesondere die Herstellung, das Anbieten, das Inverkehrbringen, die Einfuhr, die Ausfuhr, den Gebrauch eines Erzeugnisses, in das das </w:t>
      </w:r>
      <w:r w:rsidR="005F43DE" w:rsidRPr="00D35045">
        <w:rPr>
          <w:rStyle w:val="highlight"/>
          <w:sz w:val="22"/>
          <w:szCs w:val="22"/>
        </w:rPr>
        <w:t>Design</w:t>
      </w:r>
      <w:r w:rsidRPr="00D35045">
        <w:rPr>
          <w:sz w:val="22"/>
          <w:szCs w:val="22"/>
        </w:rPr>
        <w:t xml:space="preserve"> aufgenommen oder bei dem es verwendet wird, und den Besitz eines solchen Erzeugnisses zu den genannten Zwecken ein. Die Abbildung eines Erzeugnisses, in das das </w:t>
      </w:r>
      <w:r w:rsidR="005F43DE" w:rsidRPr="00D35045">
        <w:rPr>
          <w:rStyle w:val="highlight"/>
          <w:sz w:val="22"/>
          <w:szCs w:val="22"/>
        </w:rPr>
        <w:t>Design</w:t>
      </w:r>
      <w:r w:rsidRPr="00D35045">
        <w:rPr>
          <w:sz w:val="22"/>
          <w:szCs w:val="22"/>
        </w:rPr>
        <w:t xml:space="preserve"> aufgenommen oder bei dem es verwendet wird, ist zwar in dieser – lediglich beispielhaften – Aufzählung von Benutzungshandlungen nicht erwähnt. Jedoch folgt aus dem Umstand, dass die Schrankenregelung des </w:t>
      </w:r>
      <w:r w:rsidRPr="00D35045">
        <w:rPr>
          <w:rStyle w:val="zit"/>
          <w:sz w:val="22"/>
          <w:szCs w:val="22"/>
        </w:rPr>
        <w:t xml:space="preserve">§ 40 Nr. 3 </w:t>
      </w:r>
      <w:proofErr w:type="spellStart"/>
      <w:r w:rsidR="005F43DE" w:rsidRPr="00D35045">
        <w:rPr>
          <w:rStyle w:val="zit"/>
          <w:sz w:val="22"/>
          <w:szCs w:val="22"/>
        </w:rPr>
        <w:t>DesignG</w:t>
      </w:r>
      <w:proofErr w:type="spellEnd"/>
      <w:r w:rsidRPr="00D35045">
        <w:rPr>
          <w:sz w:val="22"/>
          <w:szCs w:val="22"/>
        </w:rPr>
        <w:t xml:space="preserve"> ausnahmsweise die Wiedergabe eines </w:t>
      </w:r>
      <w:r w:rsidR="005F43DE" w:rsidRPr="00D35045">
        <w:rPr>
          <w:rStyle w:val="highlight"/>
          <w:sz w:val="22"/>
          <w:szCs w:val="22"/>
        </w:rPr>
        <w:t>Design</w:t>
      </w:r>
      <w:r w:rsidRPr="00D35045">
        <w:rPr>
          <w:sz w:val="22"/>
          <w:szCs w:val="22"/>
        </w:rPr>
        <w:t xml:space="preserve">s erlaubt, dass sich das ausschließliche Benutzungsrecht des Rechtsinhabers nach </w:t>
      </w:r>
      <w:r w:rsidRPr="00D35045">
        <w:rPr>
          <w:rStyle w:val="zit"/>
          <w:sz w:val="22"/>
          <w:szCs w:val="22"/>
        </w:rPr>
        <w:t xml:space="preserve">§ 38 Abs. 1 </w:t>
      </w:r>
      <w:proofErr w:type="spellStart"/>
      <w:r w:rsidR="005F43DE" w:rsidRPr="00D35045">
        <w:rPr>
          <w:rStyle w:val="zit"/>
          <w:sz w:val="22"/>
          <w:szCs w:val="22"/>
        </w:rPr>
        <w:t>DesignG</w:t>
      </w:r>
      <w:proofErr w:type="spellEnd"/>
      <w:r w:rsidRPr="00D35045">
        <w:rPr>
          <w:sz w:val="22"/>
          <w:szCs w:val="22"/>
        </w:rPr>
        <w:t xml:space="preserve"> grundsätzlich auf die Wiedergabe eines solchen Erzeugnisses erstreckt. Die Abbildung – wie hier in einem Katalog – stellt eine (zweidimensionale) Wiedergabe i.S. des </w:t>
      </w:r>
      <w:r w:rsidRPr="00D35045">
        <w:rPr>
          <w:rStyle w:val="zit"/>
          <w:sz w:val="22"/>
          <w:szCs w:val="22"/>
        </w:rPr>
        <w:t xml:space="preserve">§ 40 Nr. 3 </w:t>
      </w:r>
      <w:proofErr w:type="spellStart"/>
      <w:r w:rsidR="005F43DE" w:rsidRPr="00D35045">
        <w:rPr>
          <w:rStyle w:val="zit"/>
          <w:sz w:val="22"/>
          <w:szCs w:val="22"/>
        </w:rPr>
        <w:t>DesignG</w:t>
      </w:r>
      <w:proofErr w:type="spellEnd"/>
      <w:r w:rsidRPr="00D35045">
        <w:rPr>
          <w:sz w:val="22"/>
          <w:szCs w:val="22"/>
        </w:rPr>
        <w:t xml:space="preserve"> dar.</w:t>
      </w:r>
    </w:p>
    <w:p w:rsidR="004D07C5" w:rsidRPr="00D35045" w:rsidRDefault="00C807B7" w:rsidP="004D07C5">
      <w:pPr>
        <w:pStyle w:val="StandardWeb"/>
        <w:jc w:val="both"/>
        <w:rPr>
          <w:sz w:val="22"/>
          <w:szCs w:val="22"/>
        </w:rPr>
      </w:pPr>
      <w:r w:rsidRPr="00D35045">
        <w:rPr>
          <w:sz w:val="22"/>
          <w:szCs w:val="22"/>
        </w:rPr>
        <w:t xml:space="preserve">Nach </w:t>
      </w:r>
      <w:r w:rsidRPr="00D35045">
        <w:rPr>
          <w:rStyle w:val="zit"/>
          <w:sz w:val="22"/>
          <w:szCs w:val="22"/>
        </w:rPr>
        <w:t xml:space="preserve">§ 40 Nr. 3 </w:t>
      </w:r>
      <w:proofErr w:type="spellStart"/>
      <w:r w:rsidR="005F43DE" w:rsidRPr="00D35045">
        <w:rPr>
          <w:rStyle w:val="zit"/>
          <w:sz w:val="22"/>
          <w:szCs w:val="22"/>
        </w:rPr>
        <w:t>DesignG</w:t>
      </w:r>
      <w:proofErr w:type="spellEnd"/>
      <w:r w:rsidRPr="00D35045">
        <w:rPr>
          <w:sz w:val="22"/>
          <w:szCs w:val="22"/>
        </w:rPr>
        <w:t xml:space="preserve"> können Rechte aus einem </w:t>
      </w:r>
      <w:r w:rsidR="005F43DE" w:rsidRPr="00D35045">
        <w:rPr>
          <w:rStyle w:val="highlight"/>
          <w:sz w:val="22"/>
          <w:szCs w:val="22"/>
        </w:rPr>
        <w:t>Design</w:t>
      </w:r>
      <w:r w:rsidRPr="00D35045">
        <w:rPr>
          <w:sz w:val="22"/>
          <w:szCs w:val="22"/>
        </w:rPr>
        <w:t xml:space="preserve"> nicht gegenüber Wiedergaben zum Zwecke der Zitierung oder der Lehre geltend gemacht werden, vorausgesetzt, solche Wiedergaben sind mit den Gepflogenheiten des redlichen Geschäftsverkehrs vereinbar, beeinträchtigen die normale Verwertung des </w:t>
      </w:r>
      <w:r w:rsidR="005F43DE" w:rsidRPr="00D35045">
        <w:rPr>
          <w:rStyle w:val="highlight"/>
          <w:sz w:val="22"/>
          <w:szCs w:val="22"/>
        </w:rPr>
        <w:t>Design</w:t>
      </w:r>
      <w:r w:rsidRPr="00D35045">
        <w:rPr>
          <w:sz w:val="22"/>
          <w:szCs w:val="22"/>
        </w:rPr>
        <w:t>s nicht über Gebühr und geben die Quelle an.</w:t>
      </w:r>
      <w:bookmarkStart w:id="3" w:name="Y-300-Z-GRUR-B-2011-S-1117-RN-43"/>
      <w:bookmarkEnd w:id="3"/>
      <w:r w:rsidRPr="00D35045">
        <w:rPr>
          <w:sz w:val="22"/>
          <w:szCs w:val="22"/>
        </w:rPr>
        <w:t xml:space="preserve"> Diese Schrankenregelung greift nicht ein, weil die beanstandete Abbildung im Ausstellerkatalog nicht – was hier allein in Betracht kommt – „zum Zwecke der Zitierung” erfolgte. </w:t>
      </w:r>
      <w:bookmarkStart w:id="4" w:name="Y-300-Z-GRUR-B-2011-S-1117-RN-44"/>
      <w:bookmarkEnd w:id="4"/>
      <w:r w:rsidRPr="00D35045">
        <w:rPr>
          <w:sz w:val="22"/>
          <w:szCs w:val="22"/>
        </w:rPr>
        <w:t xml:space="preserve">Eine „Wiedergabe zum Zwecke der Zitierung” – ebenso wie eine Nutzung zum Zweck des Zitats nach </w:t>
      </w:r>
      <w:r w:rsidRPr="00D35045">
        <w:rPr>
          <w:rStyle w:val="zit"/>
          <w:sz w:val="22"/>
          <w:szCs w:val="22"/>
        </w:rPr>
        <w:t>§ 51 UrhG</w:t>
      </w:r>
      <w:r w:rsidRPr="00D35045">
        <w:rPr>
          <w:sz w:val="22"/>
          <w:szCs w:val="22"/>
        </w:rPr>
        <w:t xml:space="preserve"> – setzt jedenfalls voraus, dass die Wiedergabe des </w:t>
      </w:r>
      <w:r w:rsidR="005F43DE" w:rsidRPr="00D35045">
        <w:rPr>
          <w:sz w:val="22"/>
          <w:szCs w:val="22"/>
        </w:rPr>
        <w:t>Design</w:t>
      </w:r>
      <w:r w:rsidRPr="00D35045">
        <w:rPr>
          <w:sz w:val="22"/>
          <w:szCs w:val="22"/>
        </w:rPr>
        <w:t xml:space="preserve">s als Belegstelle oder Erörterungsgrundlage für eigene Ausführungen des Zitierenden dient und daher erfordert, dass eine innere Verbindung zwischen dem wiedergegebenen </w:t>
      </w:r>
      <w:r w:rsidR="005F43DE" w:rsidRPr="00D35045">
        <w:rPr>
          <w:sz w:val="22"/>
          <w:szCs w:val="22"/>
        </w:rPr>
        <w:t>Design</w:t>
      </w:r>
      <w:r w:rsidRPr="00D35045">
        <w:rPr>
          <w:sz w:val="22"/>
          <w:szCs w:val="22"/>
        </w:rPr>
        <w:t xml:space="preserve"> und eigenen Gedanken des Zitierenden hergestellt wird.</w:t>
      </w:r>
      <w:bookmarkStart w:id="5" w:name="Y-300-Z-GRUR-B-2011-S-1117-RN-45"/>
      <w:bookmarkEnd w:id="5"/>
    </w:p>
    <w:p w:rsidR="00B4096E" w:rsidRPr="006B643C" w:rsidRDefault="00B4096E" w:rsidP="006B643C">
      <w:pPr>
        <w:jc w:val="both"/>
        <w:rPr>
          <w:rFonts w:asciiTheme="minorHAnsi" w:hAnsiTheme="minorHAnsi"/>
          <w:lang w:val="de-DE"/>
        </w:rPr>
      </w:pPr>
    </w:p>
    <w:sectPr w:rsidR="00B4096E" w:rsidRPr="006B643C" w:rsidSect="00942307">
      <w:headerReference w:type="even" r:id="rId7"/>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04" w:rsidRDefault="001B2204" w:rsidP="00435C7A">
      <w:r>
        <w:separator/>
      </w:r>
    </w:p>
  </w:endnote>
  <w:endnote w:type="continuationSeparator" w:id="0">
    <w:p w:rsidR="001B2204" w:rsidRDefault="001B2204" w:rsidP="0043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04" w:rsidRDefault="001B2204" w:rsidP="00435C7A">
      <w:r>
        <w:separator/>
      </w:r>
    </w:p>
  </w:footnote>
  <w:footnote w:type="continuationSeparator" w:id="0">
    <w:p w:rsidR="001B2204" w:rsidRDefault="001B2204" w:rsidP="0043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C" w:rsidRDefault="002D08F2" w:rsidP="0057129F">
    <w:pPr>
      <w:pStyle w:val="Kopfzeile"/>
      <w:framePr w:wrap="around" w:vAnchor="text" w:hAnchor="margin" w:xAlign="center" w:y="1"/>
      <w:rPr>
        <w:rStyle w:val="Seitenzahl"/>
      </w:rPr>
    </w:pPr>
    <w:r>
      <w:rPr>
        <w:rStyle w:val="Seitenzahl"/>
      </w:rPr>
      <w:fldChar w:fldCharType="begin"/>
    </w:r>
    <w:r w:rsidR="00D61F18">
      <w:rPr>
        <w:rStyle w:val="Seitenzahl"/>
      </w:rPr>
      <w:instrText xml:space="preserve">PAGE  </w:instrText>
    </w:r>
    <w:r>
      <w:rPr>
        <w:rStyle w:val="Seitenzahl"/>
      </w:rPr>
      <w:fldChar w:fldCharType="end"/>
    </w:r>
  </w:p>
  <w:p w:rsidR="00107B1C" w:rsidRDefault="00D350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C" w:rsidRPr="00D35045" w:rsidRDefault="0092090D">
    <w:pPr>
      <w:pStyle w:val="Kopfzeile"/>
      <w:rPr>
        <w:sz w:val="22"/>
      </w:rPr>
    </w:pPr>
    <w:r w:rsidRPr="00D35045">
      <w:rPr>
        <w:sz w:val="22"/>
      </w:rPr>
      <w:t>Prof. Dr. Thomas Hoeren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7"/>
    <w:rsid w:val="001B2204"/>
    <w:rsid w:val="001F323A"/>
    <w:rsid w:val="002D08F2"/>
    <w:rsid w:val="00435C7A"/>
    <w:rsid w:val="004A0A29"/>
    <w:rsid w:val="004D07C5"/>
    <w:rsid w:val="005F43DE"/>
    <w:rsid w:val="006B643C"/>
    <w:rsid w:val="0092090D"/>
    <w:rsid w:val="009C7679"/>
    <w:rsid w:val="00A654B9"/>
    <w:rsid w:val="00B4096E"/>
    <w:rsid w:val="00BC4127"/>
    <w:rsid w:val="00BD3CF8"/>
    <w:rsid w:val="00C807B7"/>
    <w:rsid w:val="00CF0BF2"/>
    <w:rsid w:val="00D35045"/>
    <w:rsid w:val="00D548FD"/>
    <w:rsid w:val="00D61F18"/>
    <w:rsid w:val="00F920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26AC-C9E8-4A84-AAA0-29D3B346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7B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7B7"/>
    <w:pPr>
      <w:tabs>
        <w:tab w:val="center" w:pos="4536"/>
        <w:tab w:val="right" w:pos="9072"/>
      </w:tabs>
    </w:pPr>
  </w:style>
  <w:style w:type="character" w:customStyle="1" w:styleId="KopfzeileZchn">
    <w:name w:val="Kopfzeile Zchn"/>
    <w:basedOn w:val="Absatz-Standardschriftart"/>
    <w:link w:val="Kopfzeile"/>
    <w:rsid w:val="00C807B7"/>
    <w:rPr>
      <w:rFonts w:ascii="Times New Roman" w:eastAsia="Times New Roman" w:hAnsi="Times New Roman" w:cs="Times New Roman"/>
      <w:sz w:val="24"/>
      <w:szCs w:val="24"/>
      <w:lang w:val="en-US" w:eastAsia="de-DE"/>
    </w:rPr>
  </w:style>
  <w:style w:type="character" w:styleId="Seitenzahl">
    <w:name w:val="page number"/>
    <w:basedOn w:val="Absatz-Standardschriftart"/>
    <w:rsid w:val="00C807B7"/>
  </w:style>
  <w:style w:type="paragraph" w:styleId="StandardWeb">
    <w:name w:val="Normal (Web)"/>
    <w:basedOn w:val="Standard"/>
    <w:uiPriority w:val="99"/>
    <w:rsid w:val="00C807B7"/>
    <w:pPr>
      <w:widowControl/>
      <w:autoSpaceDE/>
      <w:autoSpaceDN/>
      <w:adjustRightInd/>
      <w:spacing w:before="100" w:beforeAutospacing="1" w:after="100" w:afterAutospacing="1"/>
    </w:pPr>
    <w:rPr>
      <w:lang w:val="de-DE"/>
    </w:rPr>
  </w:style>
  <w:style w:type="character" w:customStyle="1" w:styleId="zit">
    <w:name w:val="zit"/>
    <w:basedOn w:val="Absatz-Standardschriftart"/>
    <w:rsid w:val="00C807B7"/>
  </w:style>
  <w:style w:type="character" w:customStyle="1" w:styleId="highlight">
    <w:name w:val="highlight"/>
    <w:basedOn w:val="Absatz-Standardschriftart"/>
    <w:rsid w:val="00C807B7"/>
  </w:style>
  <w:style w:type="paragraph" w:styleId="Listenabsatz">
    <w:name w:val="List Paragraph"/>
    <w:basedOn w:val="Standard"/>
    <w:uiPriority w:val="34"/>
    <w:qFormat/>
    <w:rsid w:val="00F9203C"/>
    <w:pPr>
      <w:ind w:left="720"/>
      <w:contextualSpacing/>
    </w:pPr>
  </w:style>
  <w:style w:type="paragraph" w:styleId="Sprechblasentext">
    <w:name w:val="Balloon Text"/>
    <w:basedOn w:val="Standard"/>
    <w:link w:val="SprechblasentextZchn"/>
    <w:uiPriority w:val="99"/>
    <w:semiHidden/>
    <w:unhideWhenUsed/>
    <w:rsid w:val="00F920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03C"/>
    <w:rPr>
      <w:rFonts w:ascii="Tahoma" w:eastAsia="Times New Roman" w:hAnsi="Tahoma" w:cs="Tahoma"/>
      <w:sz w:val="16"/>
      <w:szCs w:val="16"/>
      <w:lang w:val="en-US" w:eastAsia="de-DE"/>
    </w:rPr>
  </w:style>
  <w:style w:type="paragraph" w:styleId="Fuzeile">
    <w:name w:val="footer"/>
    <w:basedOn w:val="Standard"/>
    <w:link w:val="FuzeileZchn"/>
    <w:uiPriority w:val="99"/>
    <w:unhideWhenUsed/>
    <w:rsid w:val="0092090D"/>
    <w:pPr>
      <w:tabs>
        <w:tab w:val="center" w:pos="4536"/>
        <w:tab w:val="right" w:pos="9072"/>
      </w:tabs>
    </w:pPr>
  </w:style>
  <w:style w:type="character" w:customStyle="1" w:styleId="FuzeileZchn">
    <w:name w:val="Fußzeile Zchn"/>
    <w:basedOn w:val="Absatz-Standardschriftart"/>
    <w:link w:val="Fuzeile"/>
    <w:uiPriority w:val="99"/>
    <w:rsid w:val="0092090D"/>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180A-EBF9-45E5-A62D-610120D4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2020-03-26T13:08:00Z</dcterms:created>
  <dcterms:modified xsi:type="dcterms:W3CDTF">2020-03-26T13:23:00Z</dcterms:modified>
</cp:coreProperties>
</file>