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860" w:rsidRDefault="00B46860" w:rsidP="00A808B8">
      <w:pPr>
        <w:tabs>
          <w:tab w:val="center" w:pos="-1134"/>
          <w:tab w:val="left" w:pos="4190"/>
        </w:tabs>
        <w:rPr>
          <w:b/>
          <w:noProof/>
          <w:lang w:val="de-DE"/>
        </w:rPr>
      </w:pPr>
      <w:bookmarkStart w:id="0" w:name="_GoBack"/>
      <w:bookmarkEnd w:id="0"/>
    </w:p>
    <w:p w:rsidR="00B46860" w:rsidRPr="00AA6F83" w:rsidRDefault="009A01BD" w:rsidP="00AA6F83">
      <w:pPr>
        <w:tabs>
          <w:tab w:val="center" w:pos="-1134"/>
          <w:tab w:val="left" w:pos="4190"/>
        </w:tabs>
        <w:jc w:val="center"/>
        <w:rPr>
          <w:b/>
          <w:noProof/>
          <w:sz w:val="26"/>
          <w:szCs w:val="26"/>
          <w:lang w:val="de-DE"/>
        </w:rPr>
      </w:pPr>
      <w:r w:rsidRPr="00AA6F83">
        <w:rPr>
          <w:b/>
          <w:noProof/>
          <w:sz w:val="26"/>
          <w:szCs w:val="26"/>
          <w:lang w:val="de-DE"/>
        </w:rPr>
        <w:t>Vorlesung Urheberrecht</w:t>
      </w:r>
    </w:p>
    <w:p w:rsidR="009A01BD" w:rsidRDefault="009A01BD" w:rsidP="00AA6F83">
      <w:pPr>
        <w:tabs>
          <w:tab w:val="center" w:pos="-1134"/>
          <w:tab w:val="left" w:pos="4190"/>
        </w:tabs>
        <w:jc w:val="center"/>
        <w:rPr>
          <w:b/>
          <w:noProof/>
          <w:sz w:val="26"/>
          <w:szCs w:val="26"/>
          <w:lang w:val="de-DE"/>
        </w:rPr>
      </w:pPr>
      <w:r w:rsidRPr="00AA6F83">
        <w:rPr>
          <w:b/>
          <w:noProof/>
          <w:sz w:val="26"/>
          <w:szCs w:val="26"/>
          <w:lang w:val="de-DE"/>
        </w:rPr>
        <w:t>Sommersemester 20</w:t>
      </w:r>
      <w:r w:rsidR="009A5A3D">
        <w:rPr>
          <w:b/>
          <w:noProof/>
          <w:sz w:val="26"/>
          <w:szCs w:val="26"/>
          <w:lang w:val="de-DE"/>
        </w:rPr>
        <w:t>20</w:t>
      </w:r>
    </w:p>
    <w:p w:rsidR="009A01BD" w:rsidRPr="00AA6F83" w:rsidRDefault="009A01BD" w:rsidP="00AA6F83">
      <w:pPr>
        <w:tabs>
          <w:tab w:val="center" w:pos="-1134"/>
          <w:tab w:val="left" w:pos="4190"/>
        </w:tabs>
        <w:jc w:val="center"/>
        <w:rPr>
          <w:b/>
          <w:noProof/>
          <w:sz w:val="26"/>
          <w:szCs w:val="26"/>
          <w:lang w:val="de-DE"/>
        </w:rPr>
      </w:pPr>
    </w:p>
    <w:p w:rsidR="00A808B8" w:rsidRPr="00AA6F83" w:rsidRDefault="00A808B8" w:rsidP="00E324AC">
      <w:pPr>
        <w:tabs>
          <w:tab w:val="center" w:pos="-1134"/>
          <w:tab w:val="left" w:pos="4190"/>
        </w:tabs>
        <w:jc w:val="both"/>
        <w:rPr>
          <w:b/>
          <w:bCs/>
          <w:noProof/>
          <w:sz w:val="22"/>
          <w:szCs w:val="22"/>
          <w:lang w:val="de-DE"/>
        </w:rPr>
      </w:pPr>
      <w:r w:rsidRPr="00AA6F83">
        <w:rPr>
          <w:b/>
          <w:noProof/>
          <w:sz w:val="22"/>
          <w:szCs w:val="22"/>
          <w:lang w:val="de-DE"/>
        </w:rPr>
        <w:t>Arbeitspapier Nr. 15: Internationales Urheberrecht</w:t>
      </w:r>
    </w:p>
    <w:p w:rsidR="00B46860" w:rsidRPr="00AA6F83" w:rsidRDefault="00B46860">
      <w:pPr>
        <w:tabs>
          <w:tab w:val="center" w:pos="-1134"/>
          <w:tab w:val="left" w:pos="1983"/>
          <w:tab w:val="center" w:pos="4819"/>
        </w:tabs>
        <w:jc w:val="both"/>
        <w:rPr>
          <w:noProof/>
          <w:sz w:val="22"/>
          <w:szCs w:val="22"/>
          <w:u w:val="single"/>
          <w:lang w:val="de-DE"/>
        </w:rPr>
      </w:pPr>
    </w:p>
    <w:p w:rsidR="00A808B8" w:rsidRPr="00AA6F83" w:rsidRDefault="00A808B8" w:rsidP="00E324AC">
      <w:pPr>
        <w:pStyle w:val="Listenabsatz"/>
        <w:numPr>
          <w:ilvl w:val="0"/>
          <w:numId w:val="4"/>
        </w:numPr>
        <w:tabs>
          <w:tab w:val="center" w:pos="-1134"/>
          <w:tab w:val="left" w:pos="1983"/>
          <w:tab w:val="center" w:pos="4819"/>
        </w:tabs>
        <w:jc w:val="both"/>
        <w:rPr>
          <w:rFonts w:ascii="Times New Roman" w:hAnsi="Times New Roman" w:cs="Times New Roman"/>
          <w:b/>
          <w:noProof/>
        </w:rPr>
      </w:pPr>
      <w:r w:rsidRPr="00AA6F83">
        <w:rPr>
          <w:rFonts w:ascii="Times New Roman" w:hAnsi="Times New Roman" w:cs="Times New Roman"/>
          <w:b/>
          <w:noProof/>
          <w:u w:val="single"/>
        </w:rPr>
        <w:t>Vertiefungshinweise</w:t>
      </w:r>
      <w:r w:rsidRPr="00AA6F83">
        <w:rPr>
          <w:rFonts w:ascii="Times New Roman" w:hAnsi="Times New Roman" w:cs="Times New Roman"/>
          <w:b/>
          <w:noProof/>
        </w:rPr>
        <w:t>:</w:t>
      </w:r>
    </w:p>
    <w:p w:rsidR="00A808B8" w:rsidRPr="00AA6F83" w:rsidRDefault="00A808B8">
      <w:pPr>
        <w:tabs>
          <w:tab w:val="center" w:pos="-1134"/>
          <w:tab w:val="left" w:pos="1983"/>
          <w:tab w:val="center" w:pos="4819"/>
        </w:tabs>
        <w:jc w:val="both"/>
        <w:rPr>
          <w:noProof/>
          <w:sz w:val="22"/>
          <w:szCs w:val="22"/>
          <w:lang w:val="de-DE"/>
        </w:rPr>
      </w:pPr>
    </w:p>
    <w:p w:rsidR="00A808B8" w:rsidRPr="00AA6F83" w:rsidRDefault="00A808B8" w:rsidP="00AA6F83">
      <w:pPr>
        <w:pStyle w:val="Listenabsatz"/>
        <w:pBdr>
          <w:top w:val="single" w:sz="4" w:space="1" w:color="auto"/>
          <w:left w:val="single" w:sz="4" w:space="4" w:color="auto"/>
          <w:bottom w:val="single" w:sz="4" w:space="1" w:color="auto"/>
          <w:right w:val="single" w:sz="4" w:space="4" w:color="auto"/>
        </w:pBdr>
        <w:tabs>
          <w:tab w:val="center" w:pos="-1134"/>
          <w:tab w:val="left" w:pos="1983"/>
          <w:tab w:val="center" w:pos="4819"/>
        </w:tabs>
        <w:ind w:left="1080"/>
        <w:jc w:val="both"/>
        <w:rPr>
          <w:rFonts w:ascii="Times New Roman" w:hAnsi="Times New Roman" w:cs="Times New Roman"/>
          <w:b/>
          <w:noProof/>
          <w:u w:val="single"/>
        </w:rPr>
      </w:pPr>
      <w:r w:rsidRPr="00AA6F83">
        <w:rPr>
          <w:rFonts w:ascii="Times New Roman" w:hAnsi="Times New Roman" w:cs="Times New Roman"/>
          <w:i/>
          <w:noProof/>
          <w:sz w:val="20"/>
        </w:rPr>
        <w:t>Geller,</w:t>
      </w:r>
      <w:r w:rsidRPr="00AA6F83">
        <w:rPr>
          <w:rFonts w:ascii="Times New Roman" w:hAnsi="Times New Roman" w:cs="Times New Roman"/>
          <w:noProof/>
          <w:sz w:val="20"/>
        </w:rPr>
        <w:t xml:space="preserve"> Internationales Immaterialgüterrecht, Kollisionsrecht und gerichtliche Sanktionen im Internet, GRUR Int. 2000, 659; </w:t>
      </w:r>
      <w:r w:rsidRPr="00AA6F83">
        <w:rPr>
          <w:rFonts w:ascii="Times New Roman" w:hAnsi="Times New Roman" w:cs="Times New Roman"/>
          <w:i/>
          <w:noProof/>
          <w:sz w:val="20"/>
        </w:rPr>
        <w:t>Halfmeier,</w:t>
      </w:r>
      <w:r w:rsidRPr="00AA6F83">
        <w:rPr>
          <w:rFonts w:ascii="Times New Roman" w:hAnsi="Times New Roman" w:cs="Times New Roman"/>
          <w:noProof/>
          <w:sz w:val="20"/>
        </w:rPr>
        <w:t xml:space="preserve"> Vom Cassislikör zur E-Commerce-Richtlinie: Auf dem Weg zu einem europäischen Mediendeliktsrecht, Z</w:t>
      </w:r>
      <w:r w:rsidR="00297725" w:rsidRPr="00AA6F83">
        <w:rPr>
          <w:rFonts w:ascii="Times New Roman" w:hAnsi="Times New Roman" w:cs="Times New Roman"/>
          <w:noProof/>
          <w:sz w:val="20"/>
        </w:rPr>
        <w:t>E</w:t>
      </w:r>
      <w:r w:rsidRPr="00AA6F83">
        <w:rPr>
          <w:rFonts w:ascii="Times New Roman" w:hAnsi="Times New Roman" w:cs="Times New Roman"/>
          <w:noProof/>
          <w:sz w:val="20"/>
        </w:rPr>
        <w:t xml:space="preserve">uP 2001, 837; </w:t>
      </w:r>
      <w:r w:rsidRPr="00AA6F83">
        <w:rPr>
          <w:rFonts w:ascii="Times New Roman" w:hAnsi="Times New Roman" w:cs="Times New Roman"/>
          <w:i/>
          <w:noProof/>
          <w:sz w:val="20"/>
        </w:rPr>
        <w:t>Junker,</w:t>
      </w:r>
      <w:r w:rsidRPr="00AA6F83">
        <w:rPr>
          <w:rFonts w:ascii="Times New Roman" w:hAnsi="Times New Roman" w:cs="Times New Roman"/>
          <w:noProof/>
          <w:sz w:val="20"/>
        </w:rPr>
        <w:t xml:space="preserve"> Anwendbares Recht und internationale Zuständigkeit bei Urheberrechtsverletzungen im Internet, Kassel 2002; </w:t>
      </w:r>
      <w:r w:rsidRPr="00AA6F83">
        <w:rPr>
          <w:rFonts w:ascii="Times New Roman" w:hAnsi="Times New Roman" w:cs="Times New Roman"/>
          <w:i/>
          <w:noProof/>
          <w:sz w:val="20"/>
        </w:rPr>
        <w:t>Klett,</w:t>
      </w:r>
      <w:r w:rsidRPr="00AA6F83">
        <w:rPr>
          <w:rFonts w:ascii="Times New Roman" w:hAnsi="Times New Roman" w:cs="Times New Roman"/>
          <w:noProof/>
          <w:sz w:val="20"/>
        </w:rPr>
        <w:t xml:space="preserve"> Diskriminierungsverbot und Europäisches Urherberrecht – Unmöglichkeit absoluter Gerechtigkeit, ZUM 2002, 732</w:t>
      </w:r>
      <w:r w:rsidRPr="00AA6F83">
        <w:rPr>
          <w:rFonts w:ascii="Times New Roman" w:hAnsi="Times New Roman" w:cs="Times New Roman"/>
          <w:i/>
          <w:noProof/>
          <w:sz w:val="20"/>
        </w:rPr>
        <w:t>; Sack</w:t>
      </w:r>
      <w:r w:rsidRPr="00AA6F83">
        <w:rPr>
          <w:rFonts w:ascii="Times New Roman" w:hAnsi="Times New Roman" w:cs="Times New Roman"/>
          <w:noProof/>
          <w:sz w:val="20"/>
        </w:rPr>
        <w:t xml:space="preserve">, Das internationale Wettbewerbs- und Immaterialgüterrecht nach der EGBGB-Novelle, WRP 2000, 269; </w:t>
      </w:r>
      <w:r w:rsidRPr="00AA6F83">
        <w:rPr>
          <w:rFonts w:ascii="Times New Roman" w:hAnsi="Times New Roman" w:cs="Times New Roman"/>
          <w:i/>
          <w:noProof/>
          <w:sz w:val="20"/>
        </w:rPr>
        <w:t>Sack,</w:t>
      </w:r>
      <w:r w:rsidRPr="00AA6F83">
        <w:rPr>
          <w:rFonts w:ascii="Times New Roman" w:hAnsi="Times New Roman" w:cs="Times New Roman"/>
          <w:noProof/>
          <w:sz w:val="20"/>
        </w:rPr>
        <w:t xml:space="preserve"> Das internationale Wettbewerbsrecht nach der E-Commerce-Richtlinie (ECRL) und dem EGG-/TDG-Entwurf, WRP 2001, 1408; </w:t>
      </w:r>
      <w:r w:rsidRPr="00AA6F83">
        <w:rPr>
          <w:rFonts w:ascii="Times New Roman" w:hAnsi="Times New Roman" w:cs="Times New Roman"/>
          <w:i/>
          <w:noProof/>
          <w:sz w:val="20"/>
        </w:rPr>
        <w:t>Schack,</w:t>
      </w:r>
      <w:r w:rsidRPr="00AA6F83">
        <w:rPr>
          <w:rFonts w:ascii="Times New Roman" w:hAnsi="Times New Roman" w:cs="Times New Roman"/>
          <w:noProof/>
          <w:sz w:val="20"/>
        </w:rPr>
        <w:t xml:space="preserve"> Internationale Urheber-, Marken- und Wettbewerbsrechtverletzungen im Internet</w:t>
      </w:r>
      <w:r w:rsidR="00297725" w:rsidRPr="00AA6F83">
        <w:rPr>
          <w:rFonts w:ascii="Times New Roman" w:hAnsi="Times New Roman" w:cs="Times New Roman"/>
          <w:noProof/>
          <w:sz w:val="20"/>
        </w:rPr>
        <w:t>,</w:t>
      </w:r>
      <w:r w:rsidRPr="00AA6F83">
        <w:rPr>
          <w:rFonts w:ascii="Times New Roman" w:hAnsi="Times New Roman" w:cs="Times New Roman"/>
          <w:noProof/>
          <w:sz w:val="20"/>
        </w:rPr>
        <w:t xml:space="preserve"> Internationales</w:t>
      </w:r>
      <w:r w:rsidR="00297725" w:rsidRPr="00AA6F83">
        <w:rPr>
          <w:rFonts w:ascii="Times New Roman" w:hAnsi="Times New Roman" w:cs="Times New Roman"/>
          <w:noProof/>
          <w:sz w:val="20"/>
        </w:rPr>
        <w:t xml:space="preserve"> </w:t>
      </w:r>
      <w:r w:rsidRPr="00AA6F83">
        <w:rPr>
          <w:rFonts w:ascii="Times New Roman" w:hAnsi="Times New Roman" w:cs="Times New Roman"/>
          <w:noProof/>
          <w:sz w:val="20"/>
        </w:rPr>
        <w:t xml:space="preserve">Privatrecht, MMR 2000, 59; </w:t>
      </w:r>
      <w:r w:rsidRPr="00AA6F83">
        <w:rPr>
          <w:rFonts w:ascii="Times New Roman" w:hAnsi="Times New Roman" w:cs="Times New Roman"/>
          <w:i/>
          <w:noProof/>
          <w:sz w:val="20"/>
        </w:rPr>
        <w:t>Schack,</w:t>
      </w:r>
      <w:r w:rsidRPr="00AA6F83">
        <w:rPr>
          <w:rFonts w:ascii="Times New Roman" w:hAnsi="Times New Roman" w:cs="Times New Roman"/>
          <w:noProof/>
          <w:sz w:val="20"/>
        </w:rPr>
        <w:t xml:space="preserve"> Copyright licensing in the internet age. Choice of law and forum, in: Corporations, capital market and business in the law, 2000, 489; </w:t>
      </w:r>
      <w:r w:rsidRPr="00AA6F83">
        <w:rPr>
          <w:rFonts w:ascii="Times New Roman" w:hAnsi="Times New Roman" w:cs="Times New Roman"/>
          <w:i/>
          <w:noProof/>
          <w:sz w:val="20"/>
        </w:rPr>
        <w:t>Thum</w:t>
      </w:r>
      <w:r w:rsidRPr="00AA6F83">
        <w:rPr>
          <w:rFonts w:ascii="Times New Roman" w:hAnsi="Times New Roman" w:cs="Times New Roman"/>
          <w:noProof/>
          <w:sz w:val="20"/>
        </w:rPr>
        <w:t>, Internationalprivatrechtliche</w:t>
      </w:r>
      <w:r w:rsidR="007D7A40" w:rsidRPr="00AA6F83">
        <w:rPr>
          <w:rFonts w:ascii="Times New Roman" w:hAnsi="Times New Roman" w:cs="Times New Roman"/>
          <w:noProof/>
          <w:sz w:val="20"/>
        </w:rPr>
        <w:t xml:space="preserve"> </w:t>
      </w:r>
      <w:r w:rsidRPr="00AA6F83">
        <w:rPr>
          <w:rFonts w:ascii="Times New Roman" w:hAnsi="Times New Roman" w:cs="Times New Roman"/>
          <w:noProof/>
          <w:sz w:val="20"/>
        </w:rPr>
        <w:t>Aspekte der Verwertung</w:t>
      </w:r>
      <w:r w:rsidR="007D7A40" w:rsidRPr="00AA6F83">
        <w:rPr>
          <w:rFonts w:ascii="Times New Roman" w:hAnsi="Times New Roman" w:cs="Times New Roman"/>
          <w:noProof/>
          <w:sz w:val="20"/>
        </w:rPr>
        <w:t xml:space="preserve"> </w:t>
      </w:r>
      <w:r w:rsidRPr="00AA6F83">
        <w:rPr>
          <w:rFonts w:ascii="Times New Roman" w:hAnsi="Times New Roman" w:cs="Times New Roman"/>
          <w:noProof/>
          <w:sz w:val="20"/>
        </w:rPr>
        <w:t>urheberrechtlich</w:t>
      </w:r>
      <w:r w:rsidR="007D7A40" w:rsidRPr="00AA6F83">
        <w:rPr>
          <w:rFonts w:ascii="Times New Roman" w:hAnsi="Times New Roman" w:cs="Times New Roman"/>
          <w:noProof/>
          <w:sz w:val="20"/>
        </w:rPr>
        <w:t xml:space="preserve"> </w:t>
      </w:r>
      <w:r w:rsidRPr="00AA6F83">
        <w:rPr>
          <w:rFonts w:ascii="Times New Roman" w:hAnsi="Times New Roman" w:cs="Times New Roman"/>
          <w:noProof/>
          <w:sz w:val="20"/>
        </w:rPr>
        <w:t>geschützter</w:t>
      </w:r>
      <w:r w:rsidR="007D7A40" w:rsidRPr="00AA6F83">
        <w:rPr>
          <w:rFonts w:ascii="Times New Roman" w:hAnsi="Times New Roman" w:cs="Times New Roman"/>
          <w:noProof/>
          <w:sz w:val="20"/>
        </w:rPr>
        <w:t xml:space="preserve"> </w:t>
      </w:r>
      <w:r w:rsidRPr="00AA6F83">
        <w:rPr>
          <w:rFonts w:ascii="Times New Roman" w:hAnsi="Times New Roman" w:cs="Times New Roman"/>
          <w:noProof/>
          <w:sz w:val="20"/>
        </w:rPr>
        <w:t xml:space="preserve">Werke im Internet, GRUR Int. 2001, 9; </w:t>
      </w:r>
      <w:r w:rsidRPr="00AA6F83">
        <w:rPr>
          <w:rFonts w:ascii="Times New Roman" w:hAnsi="Times New Roman" w:cs="Times New Roman"/>
          <w:i/>
          <w:noProof/>
          <w:sz w:val="20"/>
        </w:rPr>
        <w:t>Wilske,</w:t>
      </w:r>
      <w:r w:rsidRPr="00AA6F83">
        <w:rPr>
          <w:rFonts w:ascii="Times New Roman" w:hAnsi="Times New Roman" w:cs="Times New Roman"/>
          <w:noProof/>
          <w:sz w:val="20"/>
        </w:rPr>
        <w:t xml:space="preserve"> Conflict of Laws in Cyber Torts, CRi 2001, 68</w:t>
      </w:r>
      <w:r w:rsidR="00E25E26" w:rsidRPr="00AA6F83">
        <w:rPr>
          <w:rFonts w:ascii="Times New Roman" w:hAnsi="Times New Roman" w:cs="Times New Roman"/>
          <w:noProof/>
          <w:sz w:val="20"/>
        </w:rPr>
        <w:t xml:space="preserve">; </w:t>
      </w:r>
      <w:r w:rsidR="00E25E26" w:rsidRPr="00AA6F83">
        <w:rPr>
          <w:rFonts w:ascii="Times New Roman" w:hAnsi="Times New Roman" w:cs="Times New Roman"/>
          <w:i/>
          <w:noProof/>
          <w:sz w:val="20"/>
        </w:rPr>
        <w:t>Cass,</w:t>
      </w:r>
      <w:r w:rsidR="00E25E26" w:rsidRPr="00AA6F83">
        <w:rPr>
          <w:rFonts w:ascii="Times New Roman" w:hAnsi="Times New Roman" w:cs="Times New Roman"/>
          <w:noProof/>
          <w:sz w:val="20"/>
        </w:rPr>
        <w:t xml:space="preserve"> Laws of creation, Property rights in the world of ideas, 201</w:t>
      </w:r>
      <w:r w:rsidR="006E17F3" w:rsidRPr="00AA6F83">
        <w:rPr>
          <w:rFonts w:ascii="Times New Roman" w:hAnsi="Times New Roman" w:cs="Times New Roman"/>
          <w:noProof/>
          <w:sz w:val="20"/>
        </w:rPr>
        <w:t xml:space="preserve">3; </w:t>
      </w:r>
      <w:r w:rsidR="006E17F3" w:rsidRPr="00AA6F83">
        <w:rPr>
          <w:rFonts w:ascii="Times New Roman" w:hAnsi="Times New Roman" w:cs="Times New Roman"/>
          <w:i/>
          <w:noProof/>
          <w:sz w:val="20"/>
        </w:rPr>
        <w:t>Petry,</w:t>
      </w:r>
      <w:r w:rsidR="006E17F3" w:rsidRPr="00AA6F83">
        <w:rPr>
          <w:rFonts w:ascii="Times New Roman" w:hAnsi="Times New Roman" w:cs="Times New Roman"/>
          <w:noProof/>
          <w:sz w:val="20"/>
        </w:rPr>
        <w:t xml:space="preserve"> Schutzland oder Ursprungsland – Wer bestimmt den Urheber nach der Revidierten Berner Übereinkunft, GRUR 2014, 536</w:t>
      </w:r>
      <w:r w:rsidRPr="00AA6F83">
        <w:rPr>
          <w:rFonts w:ascii="Times New Roman" w:hAnsi="Times New Roman" w:cs="Times New Roman"/>
          <w:noProof/>
        </w:rPr>
        <w:t xml:space="preserve"> </w:t>
      </w:r>
    </w:p>
    <w:p w:rsidR="00A808B8" w:rsidRPr="00AA6F83" w:rsidRDefault="00A808B8">
      <w:pPr>
        <w:pStyle w:val="Textkrper3"/>
        <w:tabs>
          <w:tab w:val="left" w:pos="720"/>
        </w:tabs>
        <w:spacing w:line="240" w:lineRule="auto"/>
        <w:rPr>
          <w:i w:val="0"/>
          <w:sz w:val="22"/>
          <w:szCs w:val="22"/>
          <w:lang w:val="de-DE"/>
        </w:rPr>
      </w:pPr>
    </w:p>
    <w:p w:rsidR="006C6873" w:rsidRPr="00AA6F83" w:rsidRDefault="00A808B8" w:rsidP="00E324AC">
      <w:pPr>
        <w:pStyle w:val="Listenabsatz"/>
        <w:numPr>
          <w:ilvl w:val="0"/>
          <w:numId w:val="4"/>
        </w:numPr>
        <w:tabs>
          <w:tab w:val="center" w:pos="-1134"/>
          <w:tab w:val="left" w:pos="1983"/>
          <w:tab w:val="center" w:pos="4819"/>
        </w:tabs>
        <w:jc w:val="both"/>
        <w:rPr>
          <w:rFonts w:ascii="Times New Roman" w:hAnsi="Times New Roman" w:cs="Times New Roman"/>
          <w:b/>
          <w:noProof/>
        </w:rPr>
      </w:pPr>
      <w:r w:rsidRPr="00AA6F83">
        <w:rPr>
          <w:rFonts w:ascii="Times New Roman" w:hAnsi="Times New Roman" w:cs="Times New Roman"/>
          <w:b/>
          <w:noProof/>
          <w:u w:val="single"/>
        </w:rPr>
        <w:t>Hinweise</w:t>
      </w:r>
      <w:r w:rsidRPr="00AA6F83">
        <w:rPr>
          <w:rFonts w:ascii="Times New Roman" w:hAnsi="Times New Roman" w:cs="Times New Roman"/>
          <w:b/>
          <w:noProof/>
        </w:rPr>
        <w:t>:</w:t>
      </w:r>
    </w:p>
    <w:p w:rsidR="00A7408F" w:rsidRPr="00AA6F83" w:rsidRDefault="00A7408F">
      <w:pPr>
        <w:tabs>
          <w:tab w:val="center" w:pos="-1134"/>
          <w:tab w:val="left" w:pos="1983"/>
          <w:tab w:val="center" w:pos="4819"/>
        </w:tabs>
        <w:jc w:val="both"/>
        <w:rPr>
          <w:b/>
          <w:noProof/>
          <w:sz w:val="22"/>
          <w:szCs w:val="22"/>
          <w:lang w:val="de-DE"/>
        </w:rPr>
      </w:pPr>
    </w:p>
    <w:p w:rsidR="00A808B8" w:rsidRPr="00AA6F83" w:rsidRDefault="00A808B8" w:rsidP="00E324AC">
      <w:pPr>
        <w:pStyle w:val="Listenabsatz"/>
        <w:numPr>
          <w:ilvl w:val="0"/>
          <w:numId w:val="3"/>
        </w:numPr>
        <w:jc w:val="both"/>
        <w:rPr>
          <w:rFonts w:ascii="Times New Roman" w:hAnsi="Times New Roman" w:cs="Times New Roman"/>
        </w:rPr>
      </w:pPr>
      <w:r w:rsidRPr="00AA6F83">
        <w:rPr>
          <w:rFonts w:ascii="Times New Roman" w:hAnsi="Times New Roman" w:cs="Times New Roman"/>
        </w:rPr>
        <w:t xml:space="preserve">Der </w:t>
      </w:r>
      <w:r w:rsidRPr="00AA6F83">
        <w:rPr>
          <w:rFonts w:ascii="Times New Roman" w:hAnsi="Times New Roman" w:cs="Times New Roman"/>
          <w:u w:val="single"/>
        </w:rPr>
        <w:t>persönliche Anwendungsbereich</w:t>
      </w:r>
      <w:r w:rsidRPr="00AA6F83">
        <w:rPr>
          <w:rFonts w:ascii="Times New Roman" w:hAnsi="Times New Roman" w:cs="Times New Roman"/>
        </w:rPr>
        <w:t xml:space="preserve"> des UrhG erstreckt sich dem Grundsatz nach </w:t>
      </w:r>
      <w:r w:rsidRPr="00AA6F83">
        <w:rPr>
          <w:rFonts w:ascii="Times New Roman" w:hAnsi="Times New Roman" w:cs="Times New Roman"/>
          <w:u w:val="single"/>
        </w:rPr>
        <w:t>nur auf deutsche Staatsangehörige</w:t>
      </w:r>
      <w:r w:rsidRPr="00AA6F83">
        <w:rPr>
          <w:rFonts w:ascii="Times New Roman" w:hAnsi="Times New Roman" w:cs="Times New Roman"/>
        </w:rPr>
        <w:t xml:space="preserve">. Gemäß § 120 Abs. 1 S. 1 UrhG ist dies unabhängig davon, ob und wo die Werke erschienen sind. Wird ein Werk von Miturhebern (§ 8 UrhG) geschaffen, genügt es gemäß § 120 Abs. 1 S. 1 UrhG, wenn ein Miturheber deutscher Staatsangehöriger ist. Deutschen </w:t>
      </w:r>
      <w:proofErr w:type="spellStart"/>
      <w:r w:rsidRPr="00AA6F83">
        <w:rPr>
          <w:rFonts w:ascii="Times New Roman" w:hAnsi="Times New Roman" w:cs="Times New Roman"/>
        </w:rPr>
        <w:t>i.S.d</w:t>
      </w:r>
      <w:proofErr w:type="spellEnd"/>
      <w:r w:rsidRPr="00AA6F83">
        <w:rPr>
          <w:rFonts w:ascii="Times New Roman" w:hAnsi="Times New Roman" w:cs="Times New Roman"/>
        </w:rPr>
        <w:t>. § 120 Abs. 1 S. 1 UrhG stehen nach § 120 Abs. 2 UrhG Deutsche</w:t>
      </w:r>
      <w:r w:rsidR="00297725" w:rsidRPr="00AA6F83">
        <w:rPr>
          <w:rFonts w:ascii="Times New Roman" w:hAnsi="Times New Roman" w:cs="Times New Roman"/>
        </w:rPr>
        <w:t xml:space="preserve"> </w:t>
      </w:r>
      <w:proofErr w:type="spellStart"/>
      <w:r w:rsidR="00297725" w:rsidRPr="00AA6F83">
        <w:rPr>
          <w:rFonts w:ascii="Times New Roman" w:hAnsi="Times New Roman" w:cs="Times New Roman"/>
        </w:rPr>
        <w:t>i</w:t>
      </w:r>
      <w:r w:rsidRPr="00AA6F83">
        <w:rPr>
          <w:rFonts w:ascii="Times New Roman" w:hAnsi="Times New Roman" w:cs="Times New Roman"/>
        </w:rPr>
        <w:t>.S.d</w:t>
      </w:r>
      <w:proofErr w:type="spellEnd"/>
      <w:r w:rsidRPr="00AA6F83">
        <w:rPr>
          <w:rFonts w:ascii="Times New Roman" w:hAnsi="Times New Roman" w:cs="Times New Roman"/>
        </w:rPr>
        <w:t>. Art. 116 Abs. 1 GG und Angehörige des EWR gleich, sowie nach § 122 Abs. 1 UrhG Staatenlose und nach §</w:t>
      </w:r>
      <w:r w:rsidR="00297725" w:rsidRPr="00AA6F83">
        <w:rPr>
          <w:rFonts w:ascii="Times New Roman" w:hAnsi="Times New Roman" w:cs="Times New Roman"/>
        </w:rPr>
        <w:t> </w:t>
      </w:r>
      <w:r w:rsidRPr="00AA6F83">
        <w:rPr>
          <w:rFonts w:ascii="Times New Roman" w:hAnsi="Times New Roman" w:cs="Times New Roman"/>
        </w:rPr>
        <w:t>123 UrhG ausländische Flüchtlinge, die ihren gewöhnlichen Aufenthalt in der BRD haben.</w:t>
      </w:r>
    </w:p>
    <w:p w:rsidR="00A808B8" w:rsidRPr="00AA6F83" w:rsidRDefault="00A808B8" w:rsidP="00735618">
      <w:pPr>
        <w:ind w:left="360"/>
        <w:jc w:val="both"/>
        <w:rPr>
          <w:sz w:val="22"/>
          <w:szCs w:val="22"/>
          <w:lang w:val="de-DE"/>
        </w:rPr>
      </w:pPr>
    </w:p>
    <w:p w:rsidR="00A808B8" w:rsidRPr="00AA6F83" w:rsidRDefault="00A808B8" w:rsidP="00E324AC">
      <w:pPr>
        <w:pStyle w:val="Listenabsatz"/>
        <w:numPr>
          <w:ilvl w:val="0"/>
          <w:numId w:val="3"/>
        </w:numPr>
        <w:jc w:val="both"/>
        <w:rPr>
          <w:rFonts w:ascii="Times New Roman" w:hAnsi="Times New Roman" w:cs="Times New Roman"/>
        </w:rPr>
      </w:pPr>
      <w:r w:rsidRPr="00AA6F83">
        <w:rPr>
          <w:rFonts w:ascii="Times New Roman" w:hAnsi="Times New Roman" w:cs="Times New Roman"/>
          <w:u w:val="single"/>
        </w:rPr>
        <w:t>Ausnahmsweise</w:t>
      </w:r>
      <w:r w:rsidR="008B3A39" w:rsidRPr="00AA6F83">
        <w:rPr>
          <w:rFonts w:ascii="Times New Roman" w:hAnsi="Times New Roman" w:cs="Times New Roman"/>
        </w:rPr>
        <w:t xml:space="preserve"> </w:t>
      </w:r>
      <w:r w:rsidRPr="00AA6F83">
        <w:rPr>
          <w:rFonts w:ascii="Times New Roman" w:hAnsi="Times New Roman" w:cs="Times New Roman"/>
        </w:rPr>
        <w:t xml:space="preserve">erstreckt sich nach § 121 Abs. 1 UrhG der Schutz des deutschen Urheberrechts auch auf </w:t>
      </w:r>
      <w:r w:rsidRPr="00AA6F83">
        <w:rPr>
          <w:rFonts w:ascii="Times New Roman" w:hAnsi="Times New Roman" w:cs="Times New Roman"/>
          <w:u w:val="single"/>
        </w:rPr>
        <w:t>Ausländer</w:t>
      </w:r>
      <w:r w:rsidRPr="00AA6F83">
        <w:rPr>
          <w:rFonts w:ascii="Times New Roman" w:hAnsi="Times New Roman" w:cs="Times New Roman"/>
        </w:rPr>
        <w:t>, wenn das Werk im räumlichen Geltungsbereich des UrhG erscheint, es sei denn, dass das Werk oder eine Übersetzung früher als 30 Tage vor dem inländischen Erscheinen außerhalb dieses Gebietes erschienen ist. Als erschienen gelten nach § 121 Abs. 2 UrhG auch Werke der bildenden Kunst, die mit einem Grundstück im Inland fest verbunden sind.</w:t>
      </w:r>
    </w:p>
    <w:p w:rsidR="00A808B8" w:rsidRPr="00AA6F83" w:rsidRDefault="00A808B8" w:rsidP="00735618">
      <w:pPr>
        <w:jc w:val="both"/>
        <w:rPr>
          <w:sz w:val="22"/>
          <w:szCs w:val="22"/>
          <w:lang w:val="de-DE"/>
        </w:rPr>
      </w:pPr>
    </w:p>
    <w:p w:rsidR="00A808B8" w:rsidRPr="00AA6F83" w:rsidRDefault="00A808B8" w:rsidP="00E324AC">
      <w:pPr>
        <w:pStyle w:val="Listenabsatz"/>
        <w:numPr>
          <w:ilvl w:val="0"/>
          <w:numId w:val="3"/>
        </w:numPr>
        <w:jc w:val="both"/>
        <w:rPr>
          <w:rFonts w:ascii="Times New Roman" w:hAnsi="Times New Roman" w:cs="Times New Roman"/>
        </w:rPr>
      </w:pPr>
      <w:r w:rsidRPr="00AA6F83">
        <w:rPr>
          <w:rFonts w:ascii="Times New Roman" w:hAnsi="Times New Roman" w:cs="Times New Roman"/>
        </w:rPr>
        <w:t>Der räumliche Geltungsbereich des UrhG ist auf das Gebiet der BRD beschränkt. Umgekehrt haben auch ausländische Normen im Inland keine Geltung, so dass ein ausländisches Urheberrecht für inländische Tatbestände keine rechtliche Wirkung hat (</w:t>
      </w:r>
      <w:r w:rsidRPr="00AA6F83">
        <w:rPr>
          <w:rFonts w:ascii="Times New Roman" w:hAnsi="Times New Roman" w:cs="Times New Roman"/>
          <w:u w:val="single"/>
        </w:rPr>
        <w:t>Territorialitätsprinzip</w:t>
      </w:r>
      <w:r w:rsidRPr="00AA6F83">
        <w:rPr>
          <w:rFonts w:ascii="Times New Roman" w:hAnsi="Times New Roman" w:cs="Times New Roman"/>
        </w:rPr>
        <w:t>).</w:t>
      </w:r>
    </w:p>
    <w:p w:rsidR="00A808B8" w:rsidRPr="00AA6F83" w:rsidRDefault="00A808B8" w:rsidP="00735618">
      <w:pPr>
        <w:jc w:val="both"/>
        <w:rPr>
          <w:sz w:val="22"/>
          <w:szCs w:val="22"/>
          <w:lang w:val="de-DE"/>
        </w:rPr>
      </w:pPr>
    </w:p>
    <w:p w:rsidR="00A808B8" w:rsidRPr="00AA6F83" w:rsidRDefault="00A808B8" w:rsidP="00E324AC">
      <w:pPr>
        <w:pStyle w:val="Listenabsatz"/>
        <w:numPr>
          <w:ilvl w:val="0"/>
          <w:numId w:val="3"/>
        </w:numPr>
        <w:jc w:val="both"/>
        <w:rPr>
          <w:rFonts w:ascii="Times New Roman" w:hAnsi="Times New Roman" w:cs="Times New Roman"/>
        </w:rPr>
      </w:pPr>
      <w:r w:rsidRPr="00AA6F83">
        <w:rPr>
          <w:rFonts w:ascii="Times New Roman" w:hAnsi="Times New Roman" w:cs="Times New Roman"/>
        </w:rPr>
        <w:t xml:space="preserve">Die Beurteilung von Urheberrechtsverletzungen richtet sich aufgrund der beschränkten territorialen Wirkung des Urheberrechts nach dem </w:t>
      </w:r>
      <w:r w:rsidRPr="00AA6F83">
        <w:rPr>
          <w:rFonts w:ascii="Times New Roman" w:hAnsi="Times New Roman" w:cs="Times New Roman"/>
          <w:u w:val="single"/>
        </w:rPr>
        <w:t>Schutzlandprinzip</w:t>
      </w:r>
      <w:r w:rsidRPr="00AA6F83">
        <w:rPr>
          <w:rFonts w:ascii="Times New Roman" w:hAnsi="Times New Roman" w:cs="Times New Roman"/>
        </w:rPr>
        <w:t xml:space="preserve">, d.h. es ist bei </w:t>
      </w:r>
      <w:r w:rsidRPr="00AA6F83">
        <w:rPr>
          <w:rFonts w:ascii="Times New Roman" w:hAnsi="Times New Roman" w:cs="Times New Roman"/>
        </w:rPr>
        <w:lastRenderedPageBreak/>
        <w:t>Verletzungshandlung das Recht des Staates anwendbar, der Urheberrechtsschutz gewährt. Ist eine Verletzung teilweise im Schutzland und teilweise im Ausland begangen worden, muss zuerst geklärt werden, ob die Schutznorm auch Handlungen, die teilweise im Ausland begangen wurden, erfasst und weiterhin, ob eine bestimmte Handlung auch nach dem Recht des Schutzlandes als Urheberrechtsverletzung zu qualifizieren ist.</w:t>
      </w:r>
    </w:p>
    <w:p w:rsidR="00A808B8" w:rsidRPr="00AA6F83" w:rsidRDefault="00A808B8" w:rsidP="00735618">
      <w:pPr>
        <w:jc w:val="both"/>
        <w:rPr>
          <w:sz w:val="22"/>
          <w:szCs w:val="22"/>
          <w:lang w:val="de-DE"/>
        </w:rPr>
      </w:pPr>
    </w:p>
    <w:p w:rsidR="00A808B8" w:rsidRPr="00AA6F83" w:rsidRDefault="00A808B8" w:rsidP="00E324AC">
      <w:pPr>
        <w:pStyle w:val="Listenabsatz"/>
        <w:numPr>
          <w:ilvl w:val="0"/>
          <w:numId w:val="3"/>
        </w:numPr>
        <w:jc w:val="both"/>
        <w:rPr>
          <w:rFonts w:ascii="Times New Roman" w:hAnsi="Times New Roman" w:cs="Times New Roman"/>
        </w:rPr>
      </w:pPr>
      <w:r w:rsidRPr="00AA6F83">
        <w:rPr>
          <w:rFonts w:ascii="Times New Roman" w:hAnsi="Times New Roman" w:cs="Times New Roman"/>
        </w:rPr>
        <w:t xml:space="preserve">Die Bedeutung der fremdenrechtlichen Bestimmungen in § 121 Abs. 1 bis 3 UrhG ist praktisch aufgrund einer Vielzahl </w:t>
      </w:r>
      <w:r w:rsidRPr="00AA6F83">
        <w:rPr>
          <w:rFonts w:ascii="Times New Roman" w:hAnsi="Times New Roman" w:cs="Times New Roman"/>
          <w:u w:val="single"/>
        </w:rPr>
        <w:t>internationaler Abkommen</w:t>
      </w:r>
      <w:r w:rsidRPr="00AA6F83">
        <w:rPr>
          <w:rFonts w:ascii="Times New Roman" w:hAnsi="Times New Roman" w:cs="Times New Roman"/>
        </w:rPr>
        <w:t xml:space="preserve">, auf die in § 121 Abs. 4 S. 1 UrhG verwiesen wird, gering. </w:t>
      </w:r>
    </w:p>
    <w:p w:rsidR="00A808B8" w:rsidRPr="00AA6F83" w:rsidRDefault="00A808B8" w:rsidP="00735618">
      <w:pPr>
        <w:jc w:val="both"/>
        <w:rPr>
          <w:sz w:val="22"/>
          <w:szCs w:val="22"/>
          <w:lang w:val="de-DE"/>
        </w:rPr>
      </w:pPr>
    </w:p>
    <w:p w:rsidR="00A808B8" w:rsidRPr="00AA6F83" w:rsidRDefault="00A808B8" w:rsidP="00E324AC">
      <w:pPr>
        <w:pStyle w:val="Listenabsatz"/>
        <w:numPr>
          <w:ilvl w:val="0"/>
          <w:numId w:val="3"/>
        </w:numPr>
        <w:jc w:val="both"/>
        <w:rPr>
          <w:rFonts w:ascii="Times New Roman" w:hAnsi="Times New Roman" w:cs="Times New Roman"/>
        </w:rPr>
      </w:pPr>
      <w:r w:rsidRPr="00AA6F83">
        <w:rPr>
          <w:rFonts w:ascii="Times New Roman" w:hAnsi="Times New Roman" w:cs="Times New Roman"/>
        </w:rPr>
        <w:t xml:space="preserve">Das wichtigste Abkommen dieser Art ist die Berner Übereinkunft zum Schutz von Werken der Literatur und Kunst vom 9.9.1886. Diese wurde mehrfach revidiert, zum letzten Mal 1971 in Paris und ist heute als </w:t>
      </w:r>
      <w:r w:rsidRPr="00AA6F83">
        <w:rPr>
          <w:rFonts w:ascii="Times New Roman" w:hAnsi="Times New Roman" w:cs="Times New Roman"/>
          <w:u w:val="single"/>
        </w:rPr>
        <w:t>Revidierte Berner Übereinkunft</w:t>
      </w:r>
      <w:r w:rsidRPr="00AA6F83">
        <w:rPr>
          <w:rFonts w:ascii="Times New Roman" w:hAnsi="Times New Roman" w:cs="Times New Roman"/>
        </w:rPr>
        <w:t xml:space="preserve"> (RBÜ) bekannt. Die RBÜ gewährleistet den internationalen Urheberrechtsschutz in erster Linie durch den Grundsatz der </w:t>
      </w:r>
      <w:r w:rsidRPr="00AA6F83">
        <w:rPr>
          <w:rFonts w:ascii="Times New Roman" w:hAnsi="Times New Roman" w:cs="Times New Roman"/>
          <w:u w:val="single"/>
        </w:rPr>
        <w:t>Inländerbehandlung</w:t>
      </w:r>
      <w:r w:rsidRPr="00AA6F83">
        <w:rPr>
          <w:rFonts w:ascii="Times New Roman" w:hAnsi="Times New Roman" w:cs="Times New Roman"/>
        </w:rPr>
        <w:t xml:space="preserve"> aus Art. 5 RBÜ (Assimilationsprinzip). Nach diesem genießen Urheber in den Verbandsländern, mit Ausnahme des Ursprungslandes, denselben Schutz wie inländische Urheber. Weiterhin wird Werken außerhalb des Ursprungslandes nach der RBÜ ein </w:t>
      </w:r>
      <w:r w:rsidRPr="00AA6F83">
        <w:rPr>
          <w:rFonts w:ascii="Times New Roman" w:hAnsi="Times New Roman" w:cs="Times New Roman"/>
          <w:u w:val="single"/>
        </w:rPr>
        <w:t>Mindestschutz</w:t>
      </w:r>
      <w:r w:rsidRPr="00AA6F83">
        <w:rPr>
          <w:rFonts w:ascii="Times New Roman" w:hAnsi="Times New Roman" w:cs="Times New Roman"/>
        </w:rPr>
        <w:t xml:space="preserve"> gewährt, auch wenn der Inländerschutz nicht so weit reicht.</w:t>
      </w:r>
    </w:p>
    <w:p w:rsidR="00A808B8" w:rsidRPr="00AA6F83" w:rsidRDefault="00A808B8" w:rsidP="00735618">
      <w:pPr>
        <w:jc w:val="both"/>
        <w:rPr>
          <w:sz w:val="22"/>
          <w:szCs w:val="22"/>
          <w:lang w:val="de-DE"/>
        </w:rPr>
      </w:pPr>
    </w:p>
    <w:p w:rsidR="00A808B8" w:rsidRPr="00AA6F83" w:rsidRDefault="00A808B8" w:rsidP="00E324AC">
      <w:pPr>
        <w:pStyle w:val="Listenabsatz"/>
        <w:numPr>
          <w:ilvl w:val="0"/>
          <w:numId w:val="3"/>
        </w:numPr>
        <w:jc w:val="both"/>
        <w:rPr>
          <w:rFonts w:ascii="Times New Roman" w:hAnsi="Times New Roman" w:cs="Times New Roman"/>
        </w:rPr>
      </w:pPr>
      <w:r w:rsidRPr="00AA6F83">
        <w:rPr>
          <w:rFonts w:ascii="Times New Roman" w:hAnsi="Times New Roman" w:cs="Times New Roman"/>
        </w:rPr>
        <w:t>Die Bedeutung des Welturheberrechtsabkommens vom 6.9.1992, das ebenfalls den Grundsatz der Inländerbehandlung statuiert, ist gering, da dieses keine Anwendung zwischen den Staaten der RBÜ findet. Dieser sind jedoch inzwischen die wichtigsten Staaten beigetreten.</w:t>
      </w:r>
    </w:p>
    <w:p w:rsidR="00A808B8" w:rsidRPr="00AA6F83" w:rsidRDefault="00A808B8" w:rsidP="00735618">
      <w:pPr>
        <w:jc w:val="both"/>
        <w:rPr>
          <w:sz w:val="22"/>
          <w:szCs w:val="22"/>
          <w:lang w:val="de-DE"/>
        </w:rPr>
      </w:pPr>
    </w:p>
    <w:p w:rsidR="00A808B8" w:rsidRPr="00AA6F83" w:rsidRDefault="00A808B8" w:rsidP="00E324AC">
      <w:pPr>
        <w:pStyle w:val="Listenabsatz"/>
        <w:numPr>
          <w:ilvl w:val="0"/>
          <w:numId w:val="3"/>
        </w:numPr>
        <w:jc w:val="both"/>
        <w:rPr>
          <w:rFonts w:ascii="Times New Roman" w:hAnsi="Times New Roman" w:cs="Times New Roman"/>
        </w:rPr>
      </w:pPr>
      <w:r w:rsidRPr="00AA6F83">
        <w:rPr>
          <w:rFonts w:ascii="Times New Roman" w:hAnsi="Times New Roman" w:cs="Times New Roman"/>
        </w:rPr>
        <w:t>Das TRIPS-Übereinkommen (Übereinkommen über handelsbezogene Aspekte der Rechte des geistigen Eigentums) vom 15.4.1994 legt fest, dass die Mitgliedsstaaten bestimmte Bestimmungen der jüngsten Fassung der RBÜ anzuwenden haben. Das TRIPS-Übere</w:t>
      </w:r>
      <w:r w:rsidR="00297725" w:rsidRPr="00AA6F83">
        <w:rPr>
          <w:rFonts w:ascii="Times New Roman" w:hAnsi="Times New Roman" w:cs="Times New Roman"/>
        </w:rPr>
        <w:t>i</w:t>
      </w:r>
      <w:r w:rsidRPr="00AA6F83">
        <w:rPr>
          <w:rFonts w:ascii="Times New Roman" w:hAnsi="Times New Roman" w:cs="Times New Roman"/>
        </w:rPr>
        <w:t>nkommen</w:t>
      </w:r>
      <w:r w:rsidR="00297725" w:rsidRPr="00AA6F83">
        <w:rPr>
          <w:rFonts w:ascii="Times New Roman" w:hAnsi="Times New Roman" w:cs="Times New Roman"/>
        </w:rPr>
        <w:t xml:space="preserve"> </w:t>
      </w:r>
      <w:r w:rsidRPr="00AA6F83">
        <w:rPr>
          <w:rFonts w:ascii="Times New Roman" w:hAnsi="Times New Roman" w:cs="Times New Roman"/>
        </w:rPr>
        <w:t xml:space="preserve">bestimmt weiterhin die Geltung des Prinzips der </w:t>
      </w:r>
      <w:r w:rsidRPr="00AA6F83">
        <w:rPr>
          <w:rFonts w:ascii="Times New Roman" w:hAnsi="Times New Roman" w:cs="Times New Roman"/>
          <w:u w:val="single"/>
        </w:rPr>
        <w:t>Inländerbehandlung</w:t>
      </w:r>
      <w:r w:rsidRPr="00AA6F83">
        <w:rPr>
          <w:rFonts w:ascii="Times New Roman" w:hAnsi="Times New Roman" w:cs="Times New Roman"/>
        </w:rPr>
        <w:t xml:space="preserve"> (Art. 3 TRIPS) und die Gewährung bestimmter </w:t>
      </w:r>
      <w:r w:rsidRPr="00AA6F83">
        <w:rPr>
          <w:rFonts w:ascii="Times New Roman" w:hAnsi="Times New Roman" w:cs="Times New Roman"/>
          <w:u w:val="single"/>
        </w:rPr>
        <w:t>Mindestrechte</w:t>
      </w:r>
      <w:r w:rsidRPr="00AA6F83">
        <w:rPr>
          <w:rFonts w:ascii="Times New Roman" w:hAnsi="Times New Roman" w:cs="Times New Roman"/>
        </w:rPr>
        <w:t xml:space="preserve"> (Art. 1 Abs. 1 TRIPS) bezüglich Urhebern zwischen den Vertragsstaaten. Als neues Schutzprinzip im Rahmen der internationalen Abkommen kommt der Grundsatz der </w:t>
      </w:r>
      <w:r w:rsidRPr="00AA6F83">
        <w:rPr>
          <w:rFonts w:ascii="Times New Roman" w:hAnsi="Times New Roman" w:cs="Times New Roman"/>
          <w:u w:val="single"/>
        </w:rPr>
        <w:t>Meistbegünstigung</w:t>
      </w:r>
      <w:r w:rsidRPr="00AA6F83">
        <w:rPr>
          <w:rFonts w:ascii="Times New Roman" w:hAnsi="Times New Roman" w:cs="Times New Roman"/>
        </w:rPr>
        <w:t xml:space="preserve"> nach Art. 4 TRIPS hinzu, der besagt, dass Urheber Anspruch auf die gleichen Vergünstigungen wie die Urheber aus den am meisten begünstigten Staaten haben (Ausländerparität).</w:t>
      </w:r>
      <w:r w:rsidR="008B3A39" w:rsidRPr="00AA6F83">
        <w:rPr>
          <w:rFonts w:ascii="Times New Roman" w:hAnsi="Times New Roman" w:cs="Times New Roman"/>
        </w:rPr>
        <w:t xml:space="preserve"> </w:t>
      </w:r>
      <w:r w:rsidRPr="00AA6F83">
        <w:rPr>
          <w:rFonts w:ascii="Times New Roman" w:hAnsi="Times New Roman" w:cs="Times New Roman"/>
        </w:rPr>
        <w:t xml:space="preserve">Nach Art. 4 </w:t>
      </w:r>
      <w:proofErr w:type="spellStart"/>
      <w:r w:rsidRPr="00AA6F83">
        <w:rPr>
          <w:rFonts w:ascii="Times New Roman" w:hAnsi="Times New Roman" w:cs="Times New Roman"/>
        </w:rPr>
        <w:t>lit</w:t>
      </w:r>
      <w:proofErr w:type="spellEnd"/>
      <w:r w:rsidRPr="00AA6F83">
        <w:rPr>
          <w:rFonts w:ascii="Times New Roman" w:hAnsi="Times New Roman" w:cs="Times New Roman"/>
        </w:rPr>
        <w:t>. d) TRIPS sind von diesem Grundsatz jedoch dann Ausnahmen möglich, wenn a) eine abweichende Internationale Übereinkunft vor dem TRIPS</w:t>
      </w:r>
      <w:r w:rsidR="00E76836" w:rsidRPr="00AA6F83">
        <w:rPr>
          <w:rFonts w:ascii="Times New Roman" w:hAnsi="Times New Roman" w:cs="Times New Roman"/>
        </w:rPr>
        <w:t>-</w:t>
      </w:r>
      <w:r w:rsidRPr="00AA6F83">
        <w:rPr>
          <w:rFonts w:ascii="Times New Roman" w:hAnsi="Times New Roman" w:cs="Times New Roman"/>
        </w:rPr>
        <w:t xml:space="preserve">Abkommen in Kraft getreten ist, b) dem Rat der TRIPS </w:t>
      </w:r>
      <w:proofErr w:type="spellStart"/>
      <w:r w:rsidRPr="00AA6F83">
        <w:rPr>
          <w:rFonts w:ascii="Times New Roman" w:hAnsi="Times New Roman" w:cs="Times New Roman"/>
        </w:rPr>
        <w:t>notifiziert</w:t>
      </w:r>
      <w:proofErr w:type="spellEnd"/>
      <w:r w:rsidRPr="00AA6F83">
        <w:rPr>
          <w:rFonts w:ascii="Times New Roman" w:hAnsi="Times New Roman" w:cs="Times New Roman"/>
        </w:rPr>
        <w:t xml:space="preserve"> wurden und c) keine willkürliche oder ungerechtfertigte Diskriminierung von Angehörigen eines TRIPS-Mitgliedsstaates darstellen. Ein solches ist insbesondere das Übereinkommen zwischen dem Deutschen Reich und den USA vom 15.1.1892 und der EG-Vertrag wie auch das EWR</w:t>
      </w:r>
      <w:r w:rsidR="00E76836" w:rsidRPr="00AA6F83">
        <w:rPr>
          <w:rFonts w:ascii="Times New Roman" w:hAnsi="Times New Roman" w:cs="Times New Roman"/>
        </w:rPr>
        <w:t>-</w:t>
      </w:r>
      <w:r w:rsidRPr="00AA6F83">
        <w:rPr>
          <w:rFonts w:ascii="Times New Roman" w:hAnsi="Times New Roman" w:cs="Times New Roman"/>
        </w:rPr>
        <w:t xml:space="preserve">Abkommen. </w:t>
      </w:r>
    </w:p>
    <w:p w:rsidR="00A808B8" w:rsidRPr="00AA6F83" w:rsidRDefault="00A808B8" w:rsidP="00735618">
      <w:pPr>
        <w:ind w:left="360"/>
        <w:jc w:val="both"/>
        <w:rPr>
          <w:sz w:val="22"/>
          <w:szCs w:val="22"/>
          <w:lang w:val="de-DE"/>
        </w:rPr>
      </w:pPr>
    </w:p>
    <w:p w:rsidR="00A808B8" w:rsidRPr="00AA6F83" w:rsidRDefault="00A808B8" w:rsidP="00E324AC">
      <w:pPr>
        <w:pStyle w:val="Listenabsatz"/>
        <w:numPr>
          <w:ilvl w:val="0"/>
          <w:numId w:val="3"/>
        </w:numPr>
        <w:jc w:val="both"/>
        <w:rPr>
          <w:rFonts w:ascii="Times New Roman" w:hAnsi="Times New Roman" w:cs="Times New Roman"/>
        </w:rPr>
      </w:pPr>
      <w:r w:rsidRPr="00AA6F83">
        <w:rPr>
          <w:rFonts w:ascii="Times New Roman" w:hAnsi="Times New Roman" w:cs="Times New Roman"/>
        </w:rPr>
        <w:t xml:space="preserve">Dem Schutz der Rechte von ausübenden Künstlern, Herstellern von Tonträgern und Sendeunternehmen dient das </w:t>
      </w:r>
      <w:r w:rsidRPr="00AA6F83">
        <w:rPr>
          <w:rFonts w:ascii="Times New Roman" w:hAnsi="Times New Roman" w:cs="Times New Roman"/>
          <w:u w:val="single"/>
        </w:rPr>
        <w:t>Rom-Abkommen</w:t>
      </w:r>
      <w:r w:rsidRPr="00AA6F83">
        <w:rPr>
          <w:rFonts w:ascii="Times New Roman" w:hAnsi="Times New Roman" w:cs="Times New Roman"/>
        </w:rPr>
        <w:t xml:space="preserve"> aus dem Jahre 1961. Vertragsstaat kann nur sein, wer entweder der RBÜ oder dem WUA angehört. Durch das Abkommen </w:t>
      </w:r>
      <w:proofErr w:type="gramStart"/>
      <w:r w:rsidRPr="00AA6F83">
        <w:rPr>
          <w:rFonts w:ascii="Times New Roman" w:hAnsi="Times New Roman" w:cs="Times New Roman"/>
        </w:rPr>
        <w:t>wird</w:t>
      </w:r>
      <w:proofErr w:type="gramEnd"/>
      <w:r w:rsidRPr="00AA6F83">
        <w:rPr>
          <w:rFonts w:ascii="Times New Roman" w:hAnsi="Times New Roman" w:cs="Times New Roman"/>
        </w:rPr>
        <w:t xml:space="preserve"> der Grundsatz der Inländerbehandlung und ein gewisser Mindestschutz festgelegt. Weiterhin kann der Schutz von gewissen Formalitäten abhängig gemacht werden. Ausreichend ist jedoch ein Vermerk auf der Umhüllung des Werkes der aus dem Kennzeichen (P) in Verbindung mit dem Jahr der ersten Veröffentlichung besteht.</w:t>
      </w:r>
    </w:p>
    <w:p w:rsidR="00A808B8" w:rsidRPr="00AA6F83" w:rsidRDefault="00A808B8" w:rsidP="00933CD4">
      <w:pPr>
        <w:ind w:left="360"/>
        <w:jc w:val="both"/>
        <w:rPr>
          <w:sz w:val="22"/>
          <w:szCs w:val="22"/>
          <w:lang w:val="de-DE"/>
        </w:rPr>
      </w:pPr>
    </w:p>
    <w:p w:rsidR="00A808B8" w:rsidRPr="00AA6F83" w:rsidRDefault="00A808B8" w:rsidP="00E324AC">
      <w:pPr>
        <w:pStyle w:val="Listenabsatz"/>
        <w:numPr>
          <w:ilvl w:val="0"/>
          <w:numId w:val="3"/>
        </w:numPr>
        <w:jc w:val="both"/>
        <w:rPr>
          <w:rFonts w:ascii="Times New Roman" w:hAnsi="Times New Roman" w:cs="Times New Roman"/>
        </w:rPr>
      </w:pPr>
      <w:r w:rsidRPr="00AA6F83">
        <w:rPr>
          <w:rFonts w:ascii="Times New Roman" w:hAnsi="Times New Roman" w:cs="Times New Roman"/>
        </w:rPr>
        <w:t xml:space="preserve">Weitere Abkommen zum Schutz des Urheberrechts und verwandter Rechte sind der WIPO Copyright Treaty (WCT) und der WIPO Performance </w:t>
      </w:r>
      <w:proofErr w:type="spellStart"/>
      <w:r w:rsidRPr="00AA6F83">
        <w:rPr>
          <w:rFonts w:ascii="Times New Roman" w:hAnsi="Times New Roman" w:cs="Times New Roman"/>
        </w:rPr>
        <w:t>and</w:t>
      </w:r>
      <w:proofErr w:type="spellEnd"/>
      <w:r w:rsidRPr="00AA6F83">
        <w:rPr>
          <w:rFonts w:ascii="Times New Roman" w:hAnsi="Times New Roman" w:cs="Times New Roman"/>
        </w:rPr>
        <w:t xml:space="preserve"> Phonograms Treaty (WPPT) die durch die auf europäischer Ebene durch die Richtlinie zum Schutz des Urheberrechts in der Informationsgesellschaft (RL 2001/29/EG) umgesetzt wurde.</w:t>
      </w:r>
    </w:p>
    <w:p w:rsidR="00A808B8" w:rsidRPr="00AA6F83" w:rsidRDefault="00A808B8" w:rsidP="00933CD4">
      <w:pPr>
        <w:jc w:val="both"/>
        <w:rPr>
          <w:sz w:val="22"/>
          <w:szCs w:val="22"/>
          <w:lang w:val="de-DE"/>
        </w:rPr>
      </w:pPr>
    </w:p>
    <w:p w:rsidR="00A808B8" w:rsidRPr="00AA6F83" w:rsidRDefault="00A808B8" w:rsidP="00E324AC">
      <w:pPr>
        <w:pStyle w:val="Listenabsatz"/>
        <w:numPr>
          <w:ilvl w:val="0"/>
          <w:numId w:val="3"/>
        </w:numPr>
        <w:jc w:val="both"/>
        <w:rPr>
          <w:rFonts w:ascii="Times New Roman" w:hAnsi="Times New Roman" w:cs="Times New Roman"/>
        </w:rPr>
      </w:pPr>
      <w:r w:rsidRPr="00AA6F83">
        <w:rPr>
          <w:rFonts w:ascii="Times New Roman" w:hAnsi="Times New Roman" w:cs="Times New Roman"/>
        </w:rPr>
        <w:t xml:space="preserve">Bezüglich des Gebietes der ehemaligen DDR finden sich Bestimmungen bezüglich des Urheberrechts im </w:t>
      </w:r>
      <w:r w:rsidRPr="00AA6F83">
        <w:rPr>
          <w:rFonts w:ascii="Times New Roman" w:hAnsi="Times New Roman" w:cs="Times New Roman"/>
          <w:u w:val="single"/>
        </w:rPr>
        <w:t>Einigungsvertrag</w:t>
      </w:r>
      <w:r w:rsidRPr="00AA6F83">
        <w:rPr>
          <w:rFonts w:ascii="Times New Roman" w:hAnsi="Times New Roman" w:cs="Times New Roman"/>
        </w:rPr>
        <w:t xml:space="preserve">. Gemäß Art. 8 EV tritt im Gebiet der ehemaligen DDR das UrhG in Kraft. Allerdings gelten nach Art. 45 Abs. 1 EV </w:t>
      </w:r>
      <w:proofErr w:type="spellStart"/>
      <w:r w:rsidRPr="00AA6F83">
        <w:rPr>
          <w:rFonts w:ascii="Times New Roman" w:hAnsi="Times New Roman" w:cs="Times New Roman"/>
        </w:rPr>
        <w:t>i.V.m</w:t>
      </w:r>
      <w:proofErr w:type="spellEnd"/>
      <w:r w:rsidRPr="00AA6F83">
        <w:rPr>
          <w:rFonts w:ascii="Times New Roman" w:hAnsi="Times New Roman" w:cs="Times New Roman"/>
        </w:rPr>
        <w:t xml:space="preserve">. Anlage I, Kapitel III, Sachgebiet E, Abschnitt II zum Einigungsvertrag Sonderregelungen. Gemäß § 1 Abs. 1 der Anlage sind die Vorschriften des UrhG auch auf vor der Wiedervereinigung geschaffene Werke anzuwenden. Dies gilt gemäß § 1 Abs. 2 auch dann, wenn die Schutzfristen nach den Bestimmungen des Rechts der DDR schon abgelaufen waren. Gemäß § 33 Abs. 1 DDR-URG betrug die Schutzfrist 50 Jahre </w:t>
      </w:r>
      <w:proofErr w:type="spellStart"/>
      <w:r w:rsidRPr="00AA6F83">
        <w:rPr>
          <w:rFonts w:ascii="Times New Roman" w:hAnsi="Times New Roman" w:cs="Times New Roman"/>
        </w:rPr>
        <w:t>p.m.a</w:t>
      </w:r>
      <w:proofErr w:type="spellEnd"/>
      <w:r w:rsidRPr="00AA6F83">
        <w:rPr>
          <w:rFonts w:ascii="Times New Roman" w:hAnsi="Times New Roman" w:cs="Times New Roman"/>
        </w:rPr>
        <w:t>. für das Urheberrecht und bei verwandten Schutzrechten gemäß § 82 Abs. 1 DDR-URG nur 10 Jahre, beginnend mit Ablauf des Kalenderjahres in dem die Leistung erfolgte. Nach §</w:t>
      </w:r>
      <w:r w:rsidR="00611D08" w:rsidRPr="00AA6F83">
        <w:rPr>
          <w:rFonts w:ascii="Times New Roman" w:hAnsi="Times New Roman" w:cs="Times New Roman"/>
        </w:rPr>
        <w:t> </w:t>
      </w:r>
      <w:r w:rsidRPr="00AA6F83">
        <w:rPr>
          <w:rFonts w:ascii="Times New Roman" w:hAnsi="Times New Roman" w:cs="Times New Roman"/>
        </w:rPr>
        <w:t xml:space="preserve">2 darf eine nach dem DDR Recht zulässige Nutzung, die nach dem UrhG unzulässig ist, fortgesetzt werden, allerdings nur gegen Zahlung </w:t>
      </w:r>
      <w:proofErr w:type="gramStart"/>
      <w:r w:rsidRPr="00AA6F83">
        <w:rPr>
          <w:rFonts w:ascii="Times New Roman" w:hAnsi="Times New Roman" w:cs="Times New Roman"/>
        </w:rPr>
        <w:t>einer angemessen Vergütung</w:t>
      </w:r>
      <w:proofErr w:type="gramEnd"/>
      <w:r w:rsidRPr="00AA6F83">
        <w:rPr>
          <w:rFonts w:ascii="Times New Roman" w:hAnsi="Times New Roman" w:cs="Times New Roman"/>
        </w:rPr>
        <w:t xml:space="preserve"> und auch nur im Gebiet der ehemaligen DDR.</w:t>
      </w:r>
    </w:p>
    <w:p w:rsidR="00E76836" w:rsidRPr="00AA6F83" w:rsidRDefault="00E76836">
      <w:pPr>
        <w:tabs>
          <w:tab w:val="center" w:pos="-1134"/>
          <w:tab w:val="left" w:pos="1983"/>
          <w:tab w:val="center" w:pos="4819"/>
        </w:tabs>
        <w:jc w:val="both"/>
        <w:rPr>
          <w:b/>
          <w:noProof/>
          <w:sz w:val="22"/>
          <w:szCs w:val="22"/>
          <w:lang w:val="de-DE"/>
        </w:rPr>
      </w:pPr>
    </w:p>
    <w:p w:rsidR="00D873EF" w:rsidRPr="00AA6F83" w:rsidRDefault="00FE3437" w:rsidP="00E324AC">
      <w:pPr>
        <w:pStyle w:val="Listenabsatz"/>
        <w:numPr>
          <w:ilvl w:val="0"/>
          <w:numId w:val="4"/>
        </w:numPr>
        <w:tabs>
          <w:tab w:val="center" w:pos="-1134"/>
          <w:tab w:val="left" w:pos="1983"/>
          <w:tab w:val="center" w:pos="4819"/>
        </w:tabs>
        <w:jc w:val="both"/>
        <w:rPr>
          <w:rFonts w:ascii="Times New Roman" w:hAnsi="Times New Roman" w:cs="Times New Roman"/>
          <w:b/>
          <w:noProof/>
        </w:rPr>
      </w:pPr>
      <w:r w:rsidRPr="00AA6F83">
        <w:rPr>
          <w:rFonts w:ascii="Times New Roman" w:hAnsi="Times New Roman" w:cs="Times New Roman"/>
          <w:b/>
          <w:noProof/>
          <w:u w:val="single"/>
        </w:rPr>
        <w:t>Fälle</w:t>
      </w:r>
      <w:r w:rsidRPr="00AA6F83">
        <w:rPr>
          <w:rFonts w:ascii="Times New Roman" w:hAnsi="Times New Roman" w:cs="Times New Roman"/>
          <w:b/>
          <w:noProof/>
        </w:rPr>
        <w:t>:</w:t>
      </w:r>
    </w:p>
    <w:p w:rsidR="00FE3437" w:rsidRPr="00AA6F83" w:rsidRDefault="00FE3437" w:rsidP="00FE3437">
      <w:pPr>
        <w:tabs>
          <w:tab w:val="center" w:pos="-1134"/>
          <w:tab w:val="left" w:pos="1983"/>
          <w:tab w:val="center" w:pos="4819"/>
        </w:tabs>
        <w:jc w:val="both"/>
        <w:rPr>
          <w:b/>
          <w:noProof/>
          <w:sz w:val="22"/>
          <w:szCs w:val="22"/>
          <w:lang w:val="de-DE"/>
        </w:rPr>
      </w:pPr>
    </w:p>
    <w:p w:rsidR="00FE3437" w:rsidRPr="00AA6F83" w:rsidRDefault="00FE3437" w:rsidP="00FE3437">
      <w:pPr>
        <w:pStyle w:val="Listenabsatz"/>
        <w:numPr>
          <w:ilvl w:val="0"/>
          <w:numId w:val="6"/>
        </w:numPr>
        <w:jc w:val="both"/>
        <w:rPr>
          <w:rFonts w:ascii="Times New Roman" w:hAnsi="Times New Roman" w:cs="Times New Roman"/>
          <w:color w:val="000000"/>
        </w:rPr>
      </w:pPr>
      <w:r w:rsidRPr="00AA6F83">
        <w:rPr>
          <w:rFonts w:ascii="Times New Roman" w:hAnsi="Times New Roman" w:cs="Times New Roman"/>
        </w:rPr>
        <w:t xml:space="preserve">Der kanadische Kinderbuchautor C hatte </w:t>
      </w:r>
      <w:r w:rsidRPr="00AA6F83">
        <w:rPr>
          <w:rFonts w:ascii="Times New Roman" w:hAnsi="Times New Roman" w:cs="Times New Roman"/>
          <w:color w:val="000000"/>
        </w:rPr>
        <w:t xml:space="preserve">Mitte November 2002 ein Kinderbuch mit dem Titel „Pierrot le </w:t>
      </w:r>
      <w:proofErr w:type="spellStart"/>
      <w:r w:rsidRPr="00AA6F83">
        <w:rPr>
          <w:rFonts w:ascii="Times New Roman" w:hAnsi="Times New Roman" w:cs="Times New Roman"/>
          <w:color w:val="000000"/>
        </w:rPr>
        <w:t>poisson</w:t>
      </w:r>
      <w:proofErr w:type="spellEnd"/>
      <w:r w:rsidRPr="00AA6F83">
        <w:rPr>
          <w:rFonts w:ascii="Times New Roman" w:hAnsi="Times New Roman" w:cs="Times New Roman"/>
          <w:color w:val="000000"/>
        </w:rPr>
        <w:t xml:space="preserve">-clown“ (Pierrot, der </w:t>
      </w:r>
      <w:proofErr w:type="spellStart"/>
      <w:r w:rsidRPr="00AA6F83">
        <w:rPr>
          <w:rFonts w:ascii="Times New Roman" w:hAnsi="Times New Roman" w:cs="Times New Roman"/>
          <w:color w:val="000000"/>
        </w:rPr>
        <w:t>Clownfisch</w:t>
      </w:r>
      <w:proofErr w:type="spellEnd"/>
      <w:r w:rsidRPr="00AA6F83">
        <w:rPr>
          <w:rFonts w:ascii="Times New Roman" w:hAnsi="Times New Roman" w:cs="Times New Roman"/>
          <w:color w:val="000000"/>
        </w:rPr>
        <w:t xml:space="preserve">) verfasst, das bislang in Deutschland noch nicht erschienen ist. Nun behauptet C, das Aussehen des Fisches und der Inhalt des Films „Findet </w:t>
      </w:r>
      <w:proofErr w:type="spellStart"/>
      <w:r w:rsidRPr="00AA6F83">
        <w:rPr>
          <w:rFonts w:ascii="Times New Roman" w:hAnsi="Times New Roman" w:cs="Times New Roman"/>
          <w:color w:val="000000"/>
        </w:rPr>
        <w:t>Nemo</w:t>
      </w:r>
      <w:proofErr w:type="spellEnd"/>
      <w:r w:rsidRPr="00AA6F83">
        <w:rPr>
          <w:rFonts w:ascii="Times New Roman" w:hAnsi="Times New Roman" w:cs="Times New Roman"/>
          <w:color w:val="000000"/>
        </w:rPr>
        <w:t xml:space="preserve">“ des US-amerikanischen Konzerns Disney (D) und der Trickfilmstudios </w:t>
      </w:r>
      <w:proofErr w:type="spellStart"/>
      <w:r w:rsidRPr="00AA6F83">
        <w:rPr>
          <w:rFonts w:ascii="Times New Roman" w:hAnsi="Times New Roman" w:cs="Times New Roman"/>
          <w:color w:val="000000"/>
        </w:rPr>
        <w:t>Pixar</w:t>
      </w:r>
      <w:proofErr w:type="spellEnd"/>
      <w:r w:rsidRPr="00AA6F83">
        <w:rPr>
          <w:rFonts w:ascii="Times New Roman" w:hAnsi="Times New Roman" w:cs="Times New Roman"/>
          <w:color w:val="000000"/>
        </w:rPr>
        <w:t xml:space="preserve"> seien seiner Zeichnung und dem Inhalt seines Buches verblüffend ähnlich. Tatsächlich weisen Buch und Film jedenfalls hinsichtlich der erzählten Geschichte eine hochgradige Ähnlichkeit auf. Nun soll der Film auch in die deutschen Kinos kommen. C möchte hiergegen rechtliche Schritte einleiten. Was kann er unternehmen?</w:t>
      </w:r>
    </w:p>
    <w:p w:rsidR="00C47BEC" w:rsidRPr="00AA6F83" w:rsidRDefault="00C47BEC" w:rsidP="00E324AC">
      <w:pPr>
        <w:pStyle w:val="Listenabsatz"/>
        <w:jc w:val="both"/>
        <w:rPr>
          <w:rFonts w:ascii="Times New Roman" w:hAnsi="Times New Roman" w:cs="Times New Roman"/>
          <w:color w:val="000000"/>
        </w:rPr>
      </w:pPr>
    </w:p>
    <w:p w:rsidR="00DD2C0A" w:rsidRPr="00AA6F83" w:rsidRDefault="00FE3437" w:rsidP="00E324AC">
      <w:pPr>
        <w:pStyle w:val="Listenabsatz"/>
        <w:jc w:val="both"/>
        <w:rPr>
          <w:rFonts w:ascii="Times New Roman" w:hAnsi="Times New Roman" w:cs="Times New Roman"/>
        </w:rPr>
      </w:pPr>
      <w:r w:rsidRPr="00AA6F83">
        <w:rPr>
          <w:rFonts w:ascii="Times New Roman" w:hAnsi="Times New Roman" w:cs="Times New Roman"/>
          <w:b/>
        </w:rPr>
        <w:t>Abwandlung:</w:t>
      </w:r>
      <w:r w:rsidRPr="00AA6F83">
        <w:rPr>
          <w:rFonts w:ascii="Times New Roman" w:hAnsi="Times New Roman" w:cs="Times New Roman"/>
        </w:rPr>
        <w:t xml:space="preserve"> Wie ist der Fall zu beurteilen, wenn C Franzose ist?</w:t>
      </w:r>
    </w:p>
    <w:p w:rsidR="00DD2C0A" w:rsidRPr="00AA6F83" w:rsidRDefault="00DD2C0A" w:rsidP="00FE3437">
      <w:pPr>
        <w:tabs>
          <w:tab w:val="left" w:pos="3780"/>
        </w:tabs>
        <w:jc w:val="both"/>
        <w:rPr>
          <w:color w:val="000000"/>
          <w:sz w:val="22"/>
          <w:szCs w:val="22"/>
          <w:u w:val="single"/>
          <w:lang w:val="de-DE"/>
        </w:rPr>
      </w:pPr>
    </w:p>
    <w:p w:rsidR="00FE3437" w:rsidRPr="00AA6F83" w:rsidRDefault="00FE3437" w:rsidP="00E324AC">
      <w:pPr>
        <w:tabs>
          <w:tab w:val="left" w:pos="3780"/>
        </w:tabs>
        <w:ind w:left="709"/>
        <w:jc w:val="both"/>
        <w:rPr>
          <w:color w:val="000000"/>
          <w:sz w:val="22"/>
          <w:szCs w:val="22"/>
          <w:u w:val="single"/>
          <w:lang w:val="de-DE"/>
        </w:rPr>
      </w:pPr>
      <w:r w:rsidRPr="00AA6F83">
        <w:rPr>
          <w:color w:val="000000"/>
          <w:sz w:val="22"/>
          <w:szCs w:val="22"/>
          <w:u w:val="single"/>
          <w:lang w:val="de-DE"/>
        </w:rPr>
        <w:t>Pierrot:</w:t>
      </w:r>
      <w:r w:rsidRPr="00AA6F83">
        <w:rPr>
          <w:color w:val="000000"/>
          <w:sz w:val="22"/>
          <w:szCs w:val="22"/>
          <w:lang w:val="de-DE"/>
        </w:rPr>
        <w:tab/>
      </w:r>
      <w:r w:rsidR="00611D08" w:rsidRPr="00AA6F83">
        <w:rPr>
          <w:color w:val="000000"/>
          <w:sz w:val="22"/>
          <w:szCs w:val="22"/>
          <w:lang w:val="de-DE"/>
        </w:rPr>
        <w:tab/>
      </w:r>
      <w:proofErr w:type="spellStart"/>
      <w:r w:rsidRPr="00AA6F83">
        <w:rPr>
          <w:color w:val="000000"/>
          <w:sz w:val="22"/>
          <w:szCs w:val="22"/>
          <w:u w:val="single"/>
          <w:lang w:val="de-DE"/>
        </w:rPr>
        <w:t>Nemo</w:t>
      </w:r>
      <w:proofErr w:type="spellEnd"/>
      <w:r w:rsidRPr="00AA6F83">
        <w:rPr>
          <w:color w:val="000000"/>
          <w:sz w:val="22"/>
          <w:szCs w:val="22"/>
          <w:u w:val="single"/>
          <w:lang w:val="de-DE"/>
        </w:rPr>
        <w:t>:</w:t>
      </w:r>
    </w:p>
    <w:p w:rsidR="00FE3437" w:rsidRPr="00AA6F83" w:rsidRDefault="00FE3437" w:rsidP="00FE3437">
      <w:pPr>
        <w:jc w:val="both"/>
        <w:rPr>
          <w:sz w:val="22"/>
          <w:szCs w:val="22"/>
          <w:lang w:val="de-DE"/>
        </w:rPr>
      </w:pPr>
    </w:p>
    <w:p w:rsidR="00FE3437" w:rsidRPr="00AA6F83" w:rsidRDefault="00FE3437" w:rsidP="00E324AC">
      <w:pPr>
        <w:tabs>
          <w:tab w:val="left" w:pos="3960"/>
        </w:tabs>
        <w:ind w:firstLine="708"/>
        <w:jc w:val="both"/>
        <w:rPr>
          <w:sz w:val="22"/>
          <w:szCs w:val="22"/>
          <w:lang w:val="de-DE"/>
        </w:rPr>
      </w:pPr>
      <w:r w:rsidRPr="00AA6F83">
        <w:rPr>
          <w:noProof/>
          <w:sz w:val="22"/>
          <w:szCs w:val="22"/>
          <w:lang w:val="de-DE"/>
        </w:rPr>
        <w:drawing>
          <wp:anchor distT="0" distB="0" distL="0" distR="0" simplePos="0" relativeHeight="251658240" behindDoc="0" locked="0" layoutInCell="1" allowOverlap="0" wp14:anchorId="0E5A00BE" wp14:editId="2DDB3B7C">
            <wp:simplePos x="0" y="0"/>
            <wp:positionH relativeFrom="column">
              <wp:posOffset>2748280</wp:posOffset>
            </wp:positionH>
            <wp:positionV relativeFrom="line">
              <wp:posOffset>83185</wp:posOffset>
            </wp:positionV>
            <wp:extent cx="1540510" cy="1047750"/>
            <wp:effectExtent l="0" t="0" r="2540" b="0"/>
            <wp:wrapSquare wrapText="bothSides"/>
            <wp:docPr id="3" name="Grafik 3" descr="N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m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51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019" w:rsidRPr="009A5A3D">
        <w:rPr>
          <w:sz w:val="22"/>
          <w:szCs w:val="22"/>
        </w:rPr>
        <w:object w:dxaOrig="9734" w:dyaOrig="8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91.5pt" o:ole="">
            <v:imagedata r:id="rId8" o:title=""/>
          </v:shape>
          <o:OLEObject Type="Embed" ProgID="MSPhotoEd.3" ShapeID="_x0000_i1025" DrawAspect="Content" ObjectID="_1646737720" r:id="rId9"/>
        </w:object>
      </w:r>
      <w:r w:rsidR="00611D08" w:rsidRPr="00AA6F83">
        <w:rPr>
          <w:sz w:val="22"/>
          <w:szCs w:val="22"/>
          <w:lang w:val="de-DE"/>
        </w:rPr>
        <w:tab/>
      </w:r>
      <w:r w:rsidR="00611D08" w:rsidRPr="00AA6F83">
        <w:rPr>
          <w:sz w:val="22"/>
          <w:szCs w:val="22"/>
          <w:lang w:val="de-DE"/>
        </w:rPr>
        <w:tab/>
      </w:r>
      <w:r w:rsidR="00611D08" w:rsidRPr="00AA6F83">
        <w:rPr>
          <w:sz w:val="22"/>
          <w:szCs w:val="22"/>
          <w:lang w:val="de-DE"/>
        </w:rPr>
        <w:tab/>
      </w:r>
    </w:p>
    <w:p w:rsidR="00611D08" w:rsidRPr="00AA6F83" w:rsidRDefault="00611D08" w:rsidP="00FE3437">
      <w:pPr>
        <w:tabs>
          <w:tab w:val="left" w:pos="3960"/>
        </w:tabs>
        <w:jc w:val="both"/>
        <w:rPr>
          <w:sz w:val="22"/>
          <w:szCs w:val="22"/>
          <w:lang w:val="de-DE"/>
        </w:rPr>
      </w:pPr>
    </w:p>
    <w:p w:rsidR="00FE3437" w:rsidRPr="00AA6F83" w:rsidRDefault="00FE3437" w:rsidP="00FE3437">
      <w:pPr>
        <w:tabs>
          <w:tab w:val="left" w:pos="3960"/>
        </w:tabs>
        <w:jc w:val="both"/>
        <w:rPr>
          <w:sz w:val="22"/>
          <w:szCs w:val="22"/>
          <w:lang w:val="de-DE"/>
        </w:rPr>
      </w:pPr>
    </w:p>
    <w:p w:rsidR="00FE3437" w:rsidRPr="00AA6F83" w:rsidRDefault="00FE3437" w:rsidP="00FE3437">
      <w:pPr>
        <w:pStyle w:val="Listenabsatz"/>
        <w:numPr>
          <w:ilvl w:val="0"/>
          <w:numId w:val="6"/>
        </w:numPr>
        <w:jc w:val="both"/>
        <w:rPr>
          <w:rFonts w:ascii="Times New Roman" w:hAnsi="Times New Roman" w:cs="Times New Roman"/>
        </w:rPr>
      </w:pPr>
      <w:r w:rsidRPr="00AA6F83">
        <w:rPr>
          <w:rFonts w:ascii="Times New Roman" w:hAnsi="Times New Roman" w:cs="Times New Roman"/>
        </w:rPr>
        <w:t xml:space="preserve">Der wenig bekannte brasilianische Schriftsteller </w:t>
      </w:r>
      <w:proofErr w:type="spellStart"/>
      <w:r w:rsidRPr="00AA6F83">
        <w:rPr>
          <w:rStyle w:val="Fett"/>
          <w:rFonts w:ascii="Times New Roman" w:hAnsi="Times New Roman" w:cs="Times New Roman"/>
          <w:b w:val="0"/>
        </w:rPr>
        <w:t>Luiz</w:t>
      </w:r>
      <w:proofErr w:type="spellEnd"/>
      <w:r w:rsidRPr="00AA6F83">
        <w:rPr>
          <w:rStyle w:val="Fett"/>
          <w:rFonts w:ascii="Times New Roman" w:hAnsi="Times New Roman" w:cs="Times New Roman"/>
          <w:b w:val="0"/>
        </w:rPr>
        <w:t xml:space="preserve"> Nazario </w:t>
      </w:r>
      <w:r w:rsidRPr="00AA6F83">
        <w:rPr>
          <w:rFonts w:ascii="Times New Roman" w:hAnsi="Times New Roman" w:cs="Times New Roman"/>
        </w:rPr>
        <w:t>Costa schrieb 1940 das Buch „Sao Paulo“. Im gleichen Jahr verstarb der Autor. Ein deutscher Verleger möchte dieses literarische Kleinod im Original im Jahr 2004 in Deutschland veröffentlichen.</w:t>
      </w:r>
    </w:p>
    <w:p w:rsidR="000328B7" w:rsidRPr="00AA6F83" w:rsidRDefault="000328B7" w:rsidP="00E324AC">
      <w:pPr>
        <w:pStyle w:val="Listenabsatz"/>
        <w:jc w:val="both"/>
        <w:rPr>
          <w:rFonts w:ascii="Times New Roman" w:hAnsi="Times New Roman" w:cs="Times New Roman"/>
        </w:rPr>
      </w:pPr>
    </w:p>
    <w:p w:rsidR="00FE3437" w:rsidRPr="00AA6F83" w:rsidRDefault="00FE3437" w:rsidP="00E324AC">
      <w:pPr>
        <w:pStyle w:val="Listenabsatz"/>
        <w:jc w:val="both"/>
        <w:rPr>
          <w:rFonts w:ascii="Times New Roman" w:hAnsi="Times New Roman" w:cs="Times New Roman"/>
        </w:rPr>
      </w:pPr>
      <w:r w:rsidRPr="00AA6F83">
        <w:rPr>
          <w:rFonts w:ascii="Times New Roman" w:hAnsi="Times New Roman" w:cs="Times New Roman"/>
        </w:rPr>
        <w:lastRenderedPageBreak/>
        <w:t>Um die Kosten dafür kalkulieren zu können, fragt er seinen Anwalt, ob den Erben ein Vergütungsanspruch für sein Vorhaben zusteht?</w:t>
      </w:r>
    </w:p>
    <w:p w:rsidR="00FE3437" w:rsidRPr="00AA6F83" w:rsidRDefault="00FE3437" w:rsidP="00E324AC">
      <w:pPr>
        <w:pStyle w:val="Listenabsatz"/>
        <w:jc w:val="both"/>
        <w:rPr>
          <w:rFonts w:ascii="Times New Roman" w:hAnsi="Times New Roman" w:cs="Times New Roman"/>
        </w:rPr>
      </w:pPr>
    </w:p>
    <w:p w:rsidR="00FE3437" w:rsidRPr="00AA6F83" w:rsidRDefault="00FE3437" w:rsidP="00E324AC">
      <w:pPr>
        <w:pStyle w:val="Listenabsatz"/>
        <w:jc w:val="both"/>
        <w:rPr>
          <w:rFonts w:ascii="Times New Roman" w:hAnsi="Times New Roman" w:cs="Times New Roman"/>
        </w:rPr>
      </w:pPr>
      <w:r w:rsidRPr="00AA6F83">
        <w:rPr>
          <w:rFonts w:ascii="Times New Roman" w:hAnsi="Times New Roman" w:cs="Times New Roman"/>
        </w:rPr>
        <w:t xml:space="preserve">Anmerkung: Es ist anzunehmen, dass die Schutzfrist für Sprachwerke in Brasilien 60 Jahre </w:t>
      </w:r>
      <w:proofErr w:type="spellStart"/>
      <w:r w:rsidRPr="00AA6F83">
        <w:rPr>
          <w:rFonts w:ascii="Times New Roman" w:hAnsi="Times New Roman" w:cs="Times New Roman"/>
        </w:rPr>
        <w:t>p.m.a</w:t>
      </w:r>
      <w:proofErr w:type="spellEnd"/>
      <w:r w:rsidRPr="00AA6F83">
        <w:rPr>
          <w:rFonts w:ascii="Times New Roman" w:hAnsi="Times New Roman" w:cs="Times New Roman"/>
        </w:rPr>
        <w:t>. beträgt.</w:t>
      </w:r>
    </w:p>
    <w:p w:rsidR="00FE3437" w:rsidRPr="00AA6F83" w:rsidRDefault="00FE3437" w:rsidP="00FE3437">
      <w:pPr>
        <w:jc w:val="both"/>
        <w:rPr>
          <w:sz w:val="22"/>
          <w:szCs w:val="22"/>
          <w:lang w:val="de-DE"/>
        </w:rPr>
      </w:pPr>
    </w:p>
    <w:p w:rsidR="00FE3437" w:rsidRPr="00AA6F83" w:rsidRDefault="00FE3437" w:rsidP="00FE3437">
      <w:pPr>
        <w:pStyle w:val="Listenabsatz"/>
        <w:numPr>
          <w:ilvl w:val="0"/>
          <w:numId w:val="6"/>
        </w:numPr>
        <w:jc w:val="both"/>
        <w:rPr>
          <w:rFonts w:ascii="Times New Roman" w:hAnsi="Times New Roman" w:cs="Times New Roman"/>
        </w:rPr>
      </w:pPr>
      <w:r w:rsidRPr="00AA6F83">
        <w:rPr>
          <w:rFonts w:ascii="Times New Roman" w:hAnsi="Times New Roman" w:cs="Times New Roman"/>
        </w:rPr>
        <w:t xml:space="preserve">Die Künstler einer Kultband (K) machten im Mai 1965 einige Aufnahmen in einem Plattenstudio in </w:t>
      </w:r>
      <w:proofErr w:type="gramStart"/>
      <w:r w:rsidRPr="00AA6F83">
        <w:rPr>
          <w:rFonts w:ascii="Times New Roman" w:hAnsi="Times New Roman" w:cs="Times New Roman"/>
        </w:rPr>
        <w:t>Karl-Marx Stadt</w:t>
      </w:r>
      <w:proofErr w:type="gramEnd"/>
      <w:r w:rsidRPr="00AA6F83">
        <w:rPr>
          <w:rFonts w:ascii="Times New Roman" w:hAnsi="Times New Roman" w:cs="Times New Roman"/>
        </w:rPr>
        <w:t xml:space="preserve"> (heute Chemnitz). Diese wurden von dem VEB „Deutsche Schallplatte“ für eine Schallplatte verwendet, die noch im gleichen Jahr veröffentlicht wurde. Als Vertriebsgebiet war im Vertrag die DDR vereinbart worden. Der Rechtsnachfolger R des VEB verbreitet im Jahr 2004 eine CD mit der Aufnahme im gesamten Bundesgebiet. Die Künstler der K möchten die Vervielfältigung und Verbreitung in der Bundesrepublik untersagen.</w:t>
      </w:r>
    </w:p>
    <w:p w:rsidR="00FE3437" w:rsidRPr="00AA6F83" w:rsidRDefault="00FE3437" w:rsidP="00FE3437">
      <w:pPr>
        <w:jc w:val="both"/>
        <w:rPr>
          <w:sz w:val="22"/>
          <w:szCs w:val="22"/>
          <w:lang w:val="de-DE"/>
        </w:rPr>
      </w:pPr>
    </w:p>
    <w:p w:rsidR="00FE3437" w:rsidRPr="00AA6F83" w:rsidRDefault="00FE3437" w:rsidP="00FE3437">
      <w:pPr>
        <w:jc w:val="both"/>
        <w:rPr>
          <w:b/>
          <w:sz w:val="22"/>
          <w:szCs w:val="22"/>
          <w:lang w:val="de-DE"/>
        </w:rPr>
      </w:pPr>
      <w:r w:rsidRPr="00AA6F83">
        <w:rPr>
          <w:b/>
          <w:sz w:val="22"/>
          <w:szCs w:val="22"/>
          <w:lang w:val="de-DE"/>
        </w:rPr>
        <w:t xml:space="preserve">Anmerkungen: </w:t>
      </w:r>
    </w:p>
    <w:p w:rsidR="00DC6FA7" w:rsidRPr="00AA6F83" w:rsidRDefault="00DC6FA7" w:rsidP="00FE3437">
      <w:pPr>
        <w:jc w:val="both"/>
        <w:rPr>
          <w:b/>
          <w:sz w:val="22"/>
          <w:szCs w:val="22"/>
          <w:lang w:val="de-DE"/>
        </w:rPr>
      </w:pPr>
    </w:p>
    <w:p w:rsidR="00FE3437" w:rsidRPr="00AA6F83" w:rsidRDefault="00FE3437" w:rsidP="00FE3437">
      <w:pPr>
        <w:jc w:val="both"/>
        <w:rPr>
          <w:sz w:val="22"/>
          <w:szCs w:val="22"/>
          <w:lang w:val="de-DE"/>
        </w:rPr>
      </w:pPr>
      <w:r w:rsidRPr="00AA6F83">
        <w:rPr>
          <w:sz w:val="22"/>
          <w:szCs w:val="22"/>
          <w:lang w:val="de-DE"/>
        </w:rPr>
        <w:t xml:space="preserve">1. Nach § 82 URG (DDR) betrug die Schutzfrist für ausübende Künstler 10 Jahre nach der Darbietung. </w:t>
      </w:r>
    </w:p>
    <w:p w:rsidR="00FE3437" w:rsidRPr="00AA6F83" w:rsidRDefault="00FE3437" w:rsidP="00FE3437">
      <w:pPr>
        <w:jc w:val="both"/>
        <w:rPr>
          <w:sz w:val="22"/>
          <w:szCs w:val="22"/>
          <w:lang w:val="de-DE"/>
        </w:rPr>
      </w:pPr>
      <w:r w:rsidRPr="00AA6F83">
        <w:rPr>
          <w:sz w:val="22"/>
          <w:szCs w:val="22"/>
          <w:lang w:val="de-DE"/>
        </w:rPr>
        <w:t>2. Anlage I, Kapitel III, Sachgebiet E, Abschnitt 2 des Einigungsvertrages lautet:</w:t>
      </w:r>
    </w:p>
    <w:p w:rsidR="00FE3437" w:rsidRPr="00AA6F83" w:rsidRDefault="00FE3437" w:rsidP="00FE3437">
      <w:pPr>
        <w:jc w:val="both"/>
        <w:rPr>
          <w:sz w:val="22"/>
          <w:szCs w:val="22"/>
          <w:lang w:val="de-DE"/>
        </w:rPr>
      </w:pPr>
    </w:p>
    <w:p w:rsidR="00FE3437" w:rsidRPr="00AA6F83" w:rsidRDefault="00FE3437" w:rsidP="00FE3437">
      <w:pPr>
        <w:jc w:val="both"/>
        <w:rPr>
          <w:sz w:val="22"/>
          <w:szCs w:val="22"/>
          <w:lang w:val="de-DE"/>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547"/>
        <w:gridCol w:w="255"/>
        <w:gridCol w:w="270"/>
      </w:tblGrid>
      <w:tr w:rsidR="00FE3437" w:rsidRPr="009A01BD" w:rsidTr="0061045B">
        <w:trPr>
          <w:tblCellSpacing w:w="15" w:type="dxa"/>
        </w:trPr>
        <w:tc>
          <w:tcPr>
            <w:tcW w:w="0" w:type="auto"/>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b/>
                <w:bCs/>
                <w:sz w:val="22"/>
                <w:szCs w:val="22"/>
                <w:lang w:val="de-DE"/>
              </w:rPr>
              <w:t>Einigungsvertrag</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r>
    </w:tbl>
    <w:p w:rsidR="00FE3437" w:rsidRPr="00AA6F83" w:rsidRDefault="00FE3437" w:rsidP="00FE3437">
      <w:pPr>
        <w:widowControl/>
        <w:autoSpaceDE/>
        <w:autoSpaceDN/>
        <w:adjustRightInd/>
        <w:jc w:val="both"/>
        <w:rPr>
          <w:vanish/>
          <w:sz w:val="22"/>
          <w:szCs w:val="22"/>
          <w:lang w:val="de-DE"/>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89"/>
        <w:gridCol w:w="8358"/>
        <w:gridCol w:w="255"/>
        <w:gridCol w:w="270"/>
      </w:tblGrid>
      <w:tr w:rsidR="00FE3437" w:rsidRPr="009A01BD" w:rsidTr="0061045B">
        <w:trPr>
          <w:tblCellSpacing w:w="15" w:type="dxa"/>
        </w:trPr>
        <w:tc>
          <w:tcPr>
            <w:tcW w:w="144"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0" w:type="auto"/>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b/>
                <w:bCs/>
                <w:sz w:val="22"/>
                <w:szCs w:val="22"/>
                <w:lang w:val="de-DE"/>
              </w:rPr>
              <w:br/>
              <w:t>Anlage I</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r>
    </w:tbl>
    <w:p w:rsidR="00FE3437" w:rsidRPr="00AA6F83" w:rsidRDefault="00FE3437" w:rsidP="00FE3437">
      <w:pPr>
        <w:widowControl/>
        <w:autoSpaceDE/>
        <w:autoSpaceDN/>
        <w:adjustRightInd/>
        <w:jc w:val="both"/>
        <w:rPr>
          <w:vanish/>
          <w:sz w:val="22"/>
          <w:szCs w:val="22"/>
          <w:lang w:val="de-DE"/>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89"/>
        <w:gridCol w:w="8358"/>
        <w:gridCol w:w="255"/>
        <w:gridCol w:w="270"/>
      </w:tblGrid>
      <w:tr w:rsidR="00FE3437" w:rsidRPr="00AA6F83" w:rsidTr="0061045B">
        <w:trPr>
          <w:tblCellSpacing w:w="15" w:type="dxa"/>
        </w:trPr>
        <w:tc>
          <w:tcPr>
            <w:tcW w:w="144"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0" w:type="auto"/>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b/>
                <w:bCs/>
                <w:sz w:val="22"/>
                <w:szCs w:val="22"/>
                <w:lang w:val="de-DE"/>
              </w:rPr>
              <w:br/>
              <w:t>Kapitel III. Sachgebiet E Abschnitt II</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r>
    </w:tbl>
    <w:p w:rsidR="00FE3437" w:rsidRPr="00AA6F83" w:rsidRDefault="00FE3437" w:rsidP="00FE3437">
      <w:pPr>
        <w:widowControl/>
        <w:autoSpaceDE/>
        <w:autoSpaceDN/>
        <w:adjustRightInd/>
        <w:jc w:val="both"/>
        <w:rPr>
          <w:vanish/>
          <w:sz w:val="22"/>
          <w:szCs w:val="22"/>
          <w:lang w:val="de-DE"/>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89"/>
        <w:gridCol w:w="8358"/>
        <w:gridCol w:w="255"/>
        <w:gridCol w:w="270"/>
      </w:tblGrid>
      <w:tr w:rsidR="00FE3437" w:rsidRPr="00AA6F83" w:rsidTr="0061045B">
        <w:trPr>
          <w:tblCellSpacing w:w="15" w:type="dxa"/>
        </w:trPr>
        <w:tc>
          <w:tcPr>
            <w:tcW w:w="144"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0" w:type="auto"/>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r>
    </w:tbl>
    <w:p w:rsidR="00FE3437" w:rsidRPr="00AA6F83" w:rsidRDefault="00FE3437" w:rsidP="00FE3437">
      <w:pPr>
        <w:widowControl/>
        <w:autoSpaceDE/>
        <w:autoSpaceDN/>
        <w:adjustRightInd/>
        <w:jc w:val="both"/>
        <w:rPr>
          <w:vanish/>
          <w:sz w:val="22"/>
          <w:szCs w:val="22"/>
          <w:lang w:val="de-DE"/>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89"/>
        <w:gridCol w:w="8358"/>
        <w:gridCol w:w="255"/>
        <w:gridCol w:w="270"/>
      </w:tblGrid>
      <w:tr w:rsidR="00FE3437" w:rsidRPr="00AA6F83" w:rsidTr="0061045B">
        <w:trPr>
          <w:tblCellSpacing w:w="15" w:type="dxa"/>
        </w:trPr>
        <w:tc>
          <w:tcPr>
            <w:tcW w:w="144"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0" w:type="auto"/>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(2) Zur Einführung des Urheberrechtsgesetzes gelten die folgenden besonderen Bestimmungen:</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r>
    </w:tbl>
    <w:p w:rsidR="00FE3437" w:rsidRPr="00AA6F83" w:rsidRDefault="00FE3437" w:rsidP="00FE3437">
      <w:pPr>
        <w:widowControl/>
        <w:autoSpaceDE/>
        <w:autoSpaceDN/>
        <w:adjustRightInd/>
        <w:jc w:val="both"/>
        <w:rPr>
          <w:vanish/>
          <w:sz w:val="22"/>
          <w:szCs w:val="22"/>
          <w:lang w:val="de-DE"/>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89"/>
        <w:gridCol w:w="8358"/>
        <w:gridCol w:w="255"/>
        <w:gridCol w:w="270"/>
      </w:tblGrid>
      <w:tr w:rsidR="00FE3437" w:rsidRPr="009A01BD" w:rsidTr="0061045B">
        <w:trPr>
          <w:tblCellSpacing w:w="15" w:type="dxa"/>
        </w:trPr>
        <w:tc>
          <w:tcPr>
            <w:tcW w:w="144"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0" w:type="auto"/>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b/>
                <w:bCs/>
                <w:sz w:val="22"/>
                <w:szCs w:val="22"/>
                <w:lang w:val="de-DE"/>
              </w:rPr>
              <w:t>§ 1. </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r>
    </w:tbl>
    <w:p w:rsidR="00FE3437" w:rsidRPr="00AA6F83" w:rsidRDefault="00FE3437" w:rsidP="00FE3437">
      <w:pPr>
        <w:widowControl/>
        <w:autoSpaceDE/>
        <w:autoSpaceDN/>
        <w:adjustRightInd/>
        <w:jc w:val="both"/>
        <w:rPr>
          <w:vanish/>
          <w:sz w:val="22"/>
          <w:szCs w:val="22"/>
          <w:lang w:val="de-DE"/>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89"/>
        <w:gridCol w:w="8358"/>
        <w:gridCol w:w="255"/>
        <w:gridCol w:w="270"/>
      </w:tblGrid>
      <w:tr w:rsidR="00FE3437" w:rsidRPr="00AA6F83" w:rsidTr="0061045B">
        <w:trPr>
          <w:tblCellSpacing w:w="15" w:type="dxa"/>
        </w:trPr>
        <w:tc>
          <w:tcPr>
            <w:tcW w:w="144"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0" w:type="auto"/>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(1) Die Vorschriften des Urheberrechtsgesetzes sind auf die vor dem Wirksamwerden des Beitritts geschaffenen Werke anzuwenden. Dies gilt auch, wenn zu diesem Zeitpunkt die Fristen nach dem Gesetz über das Urheberrecht der Deutschen Demokratischen Republik schon abgelaufen waren.</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r>
    </w:tbl>
    <w:p w:rsidR="00FE3437" w:rsidRPr="00AA6F83" w:rsidRDefault="00FE3437" w:rsidP="00FE3437">
      <w:pPr>
        <w:widowControl/>
        <w:autoSpaceDE/>
        <w:autoSpaceDN/>
        <w:adjustRightInd/>
        <w:jc w:val="both"/>
        <w:rPr>
          <w:vanish/>
          <w:sz w:val="22"/>
          <w:szCs w:val="22"/>
          <w:lang w:val="de-DE"/>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89"/>
        <w:gridCol w:w="8358"/>
        <w:gridCol w:w="255"/>
        <w:gridCol w:w="270"/>
      </w:tblGrid>
      <w:tr w:rsidR="00FE3437" w:rsidRPr="00AA6F83" w:rsidTr="0061045B">
        <w:trPr>
          <w:tblCellSpacing w:w="15" w:type="dxa"/>
        </w:trPr>
        <w:tc>
          <w:tcPr>
            <w:tcW w:w="144"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0" w:type="auto"/>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(2) Entsprechendes gilt für verwandte Schutzrechte.</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r>
    </w:tbl>
    <w:p w:rsidR="00FE3437" w:rsidRPr="00AA6F83" w:rsidRDefault="00FE3437" w:rsidP="00FE3437">
      <w:pPr>
        <w:widowControl/>
        <w:autoSpaceDE/>
        <w:autoSpaceDN/>
        <w:adjustRightInd/>
        <w:jc w:val="both"/>
        <w:rPr>
          <w:vanish/>
          <w:sz w:val="22"/>
          <w:szCs w:val="22"/>
          <w:lang w:val="de-DE"/>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89"/>
        <w:gridCol w:w="8358"/>
        <w:gridCol w:w="255"/>
        <w:gridCol w:w="270"/>
      </w:tblGrid>
      <w:tr w:rsidR="00FE3437" w:rsidRPr="009A01BD" w:rsidTr="0061045B">
        <w:trPr>
          <w:tblCellSpacing w:w="15" w:type="dxa"/>
        </w:trPr>
        <w:tc>
          <w:tcPr>
            <w:tcW w:w="144"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0" w:type="auto"/>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b/>
                <w:bCs/>
                <w:sz w:val="22"/>
                <w:szCs w:val="22"/>
                <w:lang w:val="de-DE"/>
              </w:rPr>
              <w:t>§ 2. </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r>
    </w:tbl>
    <w:p w:rsidR="00FE3437" w:rsidRPr="00AA6F83" w:rsidRDefault="00FE3437" w:rsidP="00FE3437">
      <w:pPr>
        <w:widowControl/>
        <w:autoSpaceDE/>
        <w:autoSpaceDN/>
        <w:adjustRightInd/>
        <w:jc w:val="both"/>
        <w:rPr>
          <w:vanish/>
          <w:sz w:val="22"/>
          <w:szCs w:val="22"/>
          <w:lang w:val="de-DE"/>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89"/>
        <w:gridCol w:w="8358"/>
        <w:gridCol w:w="255"/>
        <w:gridCol w:w="270"/>
      </w:tblGrid>
      <w:tr w:rsidR="00FE3437" w:rsidRPr="00AA6F83" w:rsidTr="0061045B">
        <w:trPr>
          <w:tblCellSpacing w:w="15" w:type="dxa"/>
        </w:trPr>
        <w:tc>
          <w:tcPr>
            <w:tcW w:w="144"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0" w:type="auto"/>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xml:space="preserve">(1) War eine Nutzung, die nach dem Urheberrechtsgesetz unzulässig ist, bisher zulässig, so darf die vor dem 1. Juli 1990 begonnene Nutzung in dem vorgesehenen Rahmen fortgesetzt werden, es sei denn, </w:t>
            </w:r>
            <w:proofErr w:type="spellStart"/>
            <w:r w:rsidRPr="00AA6F83">
              <w:rPr>
                <w:sz w:val="22"/>
                <w:szCs w:val="22"/>
                <w:lang w:val="de-DE"/>
              </w:rPr>
              <w:t>daß</w:t>
            </w:r>
            <w:proofErr w:type="spellEnd"/>
            <w:r w:rsidRPr="00AA6F83">
              <w:rPr>
                <w:sz w:val="22"/>
                <w:szCs w:val="22"/>
                <w:lang w:val="de-DE"/>
              </w:rPr>
              <w:t xml:space="preserve"> sie nicht üblich ist. Für die Nutzung ab dem Wirksamwerden des Beitritts ist eine angemessene Vergütung zu zahlen.</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r>
    </w:tbl>
    <w:p w:rsidR="00FE3437" w:rsidRPr="00AA6F83" w:rsidRDefault="00FE3437" w:rsidP="00FE3437">
      <w:pPr>
        <w:widowControl/>
        <w:autoSpaceDE/>
        <w:autoSpaceDN/>
        <w:adjustRightInd/>
        <w:jc w:val="both"/>
        <w:rPr>
          <w:vanish/>
          <w:sz w:val="22"/>
          <w:szCs w:val="22"/>
          <w:lang w:val="de-DE"/>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89"/>
        <w:gridCol w:w="8358"/>
        <w:gridCol w:w="255"/>
        <w:gridCol w:w="270"/>
      </w:tblGrid>
      <w:tr w:rsidR="00FE3437" w:rsidRPr="00AA6F83" w:rsidTr="0061045B">
        <w:trPr>
          <w:tblCellSpacing w:w="15" w:type="dxa"/>
        </w:trPr>
        <w:tc>
          <w:tcPr>
            <w:tcW w:w="144"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0" w:type="auto"/>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(2) Rechte, die üblicherweise vertraglich nicht übertragen werden, verbleiben dem Rechteinhaber.</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r>
    </w:tbl>
    <w:p w:rsidR="00FE3437" w:rsidRPr="00AA6F83" w:rsidRDefault="00FE3437" w:rsidP="00FE3437">
      <w:pPr>
        <w:widowControl/>
        <w:autoSpaceDE/>
        <w:autoSpaceDN/>
        <w:adjustRightInd/>
        <w:jc w:val="both"/>
        <w:rPr>
          <w:vanish/>
          <w:sz w:val="22"/>
          <w:szCs w:val="22"/>
          <w:lang w:val="de-DE"/>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89"/>
        <w:gridCol w:w="8358"/>
        <w:gridCol w:w="255"/>
        <w:gridCol w:w="270"/>
      </w:tblGrid>
      <w:tr w:rsidR="00FE3437" w:rsidRPr="00AA6F83" w:rsidTr="0061045B">
        <w:trPr>
          <w:tblCellSpacing w:w="15" w:type="dxa"/>
        </w:trPr>
        <w:tc>
          <w:tcPr>
            <w:tcW w:w="144"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0" w:type="auto"/>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(3) Die Absätze 1 und 2 gelten für verwandte Schutzrechte entsprechend.</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r>
    </w:tbl>
    <w:p w:rsidR="00FE3437" w:rsidRPr="00AA6F83" w:rsidRDefault="00FE3437" w:rsidP="00FE3437">
      <w:pPr>
        <w:widowControl/>
        <w:autoSpaceDE/>
        <w:autoSpaceDN/>
        <w:adjustRightInd/>
        <w:jc w:val="both"/>
        <w:rPr>
          <w:vanish/>
          <w:sz w:val="22"/>
          <w:szCs w:val="22"/>
          <w:lang w:val="de-DE"/>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89"/>
        <w:gridCol w:w="8358"/>
        <w:gridCol w:w="255"/>
        <w:gridCol w:w="270"/>
      </w:tblGrid>
      <w:tr w:rsidR="00FE3437" w:rsidRPr="009A01BD" w:rsidTr="0061045B">
        <w:trPr>
          <w:tblCellSpacing w:w="15" w:type="dxa"/>
        </w:trPr>
        <w:tc>
          <w:tcPr>
            <w:tcW w:w="144"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0" w:type="auto"/>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b/>
                <w:bCs/>
                <w:sz w:val="22"/>
                <w:szCs w:val="22"/>
                <w:lang w:val="de-DE"/>
              </w:rPr>
              <w:t>§ 3. </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r>
    </w:tbl>
    <w:p w:rsidR="00FE3437" w:rsidRPr="00AA6F83" w:rsidRDefault="00FE3437" w:rsidP="00FE3437">
      <w:pPr>
        <w:widowControl/>
        <w:autoSpaceDE/>
        <w:autoSpaceDN/>
        <w:adjustRightInd/>
        <w:jc w:val="both"/>
        <w:rPr>
          <w:vanish/>
          <w:sz w:val="22"/>
          <w:szCs w:val="22"/>
          <w:lang w:val="de-DE"/>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89"/>
        <w:gridCol w:w="8358"/>
        <w:gridCol w:w="255"/>
        <w:gridCol w:w="270"/>
      </w:tblGrid>
      <w:tr w:rsidR="00FE3437" w:rsidRPr="00AA6F83" w:rsidTr="0061045B">
        <w:trPr>
          <w:tblCellSpacing w:w="15" w:type="dxa"/>
        </w:trPr>
        <w:tc>
          <w:tcPr>
            <w:tcW w:w="144"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0" w:type="auto"/>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(1) Sind vor dem Wirksamwerden des Beitritts Nutzungsrechte ganz oder teilweise einem anderen übertragen worden, so erstreckt sich die Übertragung im Zweifel auch auf den Zeitraum, der sich durch die Anwendung des Urheberrechtsgesetzes ergibt.</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r>
    </w:tbl>
    <w:p w:rsidR="00FE3437" w:rsidRPr="00AA6F83" w:rsidRDefault="00FE3437" w:rsidP="00FE3437">
      <w:pPr>
        <w:widowControl/>
        <w:autoSpaceDE/>
        <w:autoSpaceDN/>
        <w:adjustRightInd/>
        <w:jc w:val="both"/>
        <w:rPr>
          <w:vanish/>
          <w:sz w:val="22"/>
          <w:szCs w:val="22"/>
          <w:lang w:val="de-DE"/>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89"/>
        <w:gridCol w:w="8358"/>
        <w:gridCol w:w="255"/>
        <w:gridCol w:w="270"/>
      </w:tblGrid>
      <w:tr w:rsidR="00FE3437" w:rsidRPr="00AA6F83" w:rsidTr="0061045B">
        <w:trPr>
          <w:tblCellSpacing w:w="15" w:type="dxa"/>
        </w:trPr>
        <w:tc>
          <w:tcPr>
            <w:tcW w:w="144"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lastRenderedPageBreak/>
              <w:t> </w:t>
            </w:r>
          </w:p>
        </w:tc>
        <w:tc>
          <w:tcPr>
            <w:tcW w:w="0" w:type="auto"/>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(2) In den Fällen des Absatzes 1 hat der Nutzungsberechtigte dem Urheber eine angemessene Vergütung zu zahlen. Der Anspruch auf die Vergütung entfällt, wenn alsbald nach seiner Geltendmachung der Nutzungsberechtigte dem Urheber das Nutzungsrecht für die Zeit nach Ablauf der bisher bestimmten Schutzdauer zur Verfügung stellt.</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r>
    </w:tbl>
    <w:p w:rsidR="00FE3437" w:rsidRPr="00AA6F83" w:rsidRDefault="00FE3437" w:rsidP="00FE3437">
      <w:pPr>
        <w:widowControl/>
        <w:autoSpaceDE/>
        <w:autoSpaceDN/>
        <w:adjustRightInd/>
        <w:jc w:val="both"/>
        <w:rPr>
          <w:vanish/>
          <w:sz w:val="22"/>
          <w:szCs w:val="22"/>
          <w:lang w:val="de-DE"/>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89"/>
        <w:gridCol w:w="8358"/>
        <w:gridCol w:w="255"/>
        <w:gridCol w:w="270"/>
      </w:tblGrid>
      <w:tr w:rsidR="00FE3437" w:rsidRPr="00AA6F83" w:rsidTr="0061045B">
        <w:trPr>
          <w:tblCellSpacing w:w="15" w:type="dxa"/>
        </w:trPr>
        <w:tc>
          <w:tcPr>
            <w:tcW w:w="144"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0" w:type="auto"/>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(3) Rechte, die üblicherweise vertraglich nicht übertragen werden, verbleiben dem Rechteinhaber.</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r>
    </w:tbl>
    <w:p w:rsidR="00FE3437" w:rsidRPr="00AA6F83" w:rsidRDefault="00FE3437" w:rsidP="00FE3437">
      <w:pPr>
        <w:widowControl/>
        <w:autoSpaceDE/>
        <w:autoSpaceDN/>
        <w:adjustRightInd/>
        <w:jc w:val="both"/>
        <w:rPr>
          <w:vanish/>
          <w:sz w:val="22"/>
          <w:szCs w:val="22"/>
          <w:lang w:val="de-DE"/>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89"/>
        <w:gridCol w:w="8358"/>
        <w:gridCol w:w="255"/>
        <w:gridCol w:w="270"/>
      </w:tblGrid>
      <w:tr w:rsidR="00FE3437" w:rsidRPr="00AA6F83" w:rsidTr="0061045B">
        <w:trPr>
          <w:tblCellSpacing w:w="15" w:type="dxa"/>
        </w:trPr>
        <w:tc>
          <w:tcPr>
            <w:tcW w:w="144"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0" w:type="auto"/>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(4) Die Absätze 1 und 2 gelten für verwandte Schutzrechte entsprechend.</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r>
    </w:tbl>
    <w:p w:rsidR="00FE3437" w:rsidRPr="00AA6F83" w:rsidRDefault="00FE3437" w:rsidP="00FE3437">
      <w:pPr>
        <w:widowControl/>
        <w:autoSpaceDE/>
        <w:autoSpaceDN/>
        <w:adjustRightInd/>
        <w:jc w:val="both"/>
        <w:rPr>
          <w:vanish/>
          <w:sz w:val="22"/>
          <w:szCs w:val="22"/>
          <w:lang w:val="de-DE"/>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89"/>
        <w:gridCol w:w="8358"/>
        <w:gridCol w:w="255"/>
        <w:gridCol w:w="270"/>
      </w:tblGrid>
      <w:tr w:rsidR="00FE3437" w:rsidRPr="009A01BD" w:rsidTr="0061045B">
        <w:trPr>
          <w:tblCellSpacing w:w="15" w:type="dxa"/>
        </w:trPr>
        <w:tc>
          <w:tcPr>
            <w:tcW w:w="144"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0" w:type="auto"/>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b/>
                <w:bCs/>
                <w:sz w:val="22"/>
                <w:szCs w:val="22"/>
                <w:lang w:val="de-DE"/>
              </w:rPr>
              <w:t>§ 4. </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r>
    </w:tbl>
    <w:p w:rsidR="00FE3437" w:rsidRPr="00AA6F83" w:rsidRDefault="00FE3437" w:rsidP="00FE3437">
      <w:pPr>
        <w:widowControl/>
        <w:autoSpaceDE/>
        <w:autoSpaceDN/>
        <w:adjustRightInd/>
        <w:jc w:val="both"/>
        <w:rPr>
          <w:vanish/>
          <w:sz w:val="22"/>
          <w:szCs w:val="22"/>
          <w:lang w:val="de-DE"/>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89"/>
        <w:gridCol w:w="8358"/>
        <w:gridCol w:w="255"/>
        <w:gridCol w:w="270"/>
      </w:tblGrid>
      <w:tr w:rsidR="00FE3437" w:rsidRPr="00AA6F83" w:rsidTr="0061045B">
        <w:trPr>
          <w:tblCellSpacing w:w="15" w:type="dxa"/>
        </w:trPr>
        <w:tc>
          <w:tcPr>
            <w:tcW w:w="144"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0" w:type="auto"/>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xml:space="preserve">Auch nach Außerkrafttreten des Urheberrechtsgesetzes der Deutschen Demokratischen Republik behält ein </w:t>
            </w:r>
            <w:proofErr w:type="spellStart"/>
            <w:r w:rsidRPr="00AA6F83">
              <w:rPr>
                <w:sz w:val="22"/>
                <w:szCs w:val="22"/>
                <w:lang w:val="de-DE"/>
              </w:rPr>
              <w:t>Beschluß</w:t>
            </w:r>
            <w:proofErr w:type="spellEnd"/>
            <w:r w:rsidRPr="00AA6F83">
              <w:rPr>
                <w:sz w:val="22"/>
                <w:szCs w:val="22"/>
                <w:lang w:val="de-DE"/>
              </w:rPr>
              <w:t xml:space="preserve"> nach § 35 dieses Gesetzes seine Gültigkeit, wenn die mit der Wahrnehmung der Urheberrechte an dem </w:t>
            </w:r>
            <w:proofErr w:type="spellStart"/>
            <w:r w:rsidRPr="00AA6F83">
              <w:rPr>
                <w:sz w:val="22"/>
                <w:szCs w:val="22"/>
                <w:lang w:val="de-DE"/>
              </w:rPr>
              <w:t>Nachlaß</w:t>
            </w:r>
            <w:proofErr w:type="spellEnd"/>
            <w:r w:rsidRPr="00AA6F83">
              <w:rPr>
                <w:sz w:val="22"/>
                <w:szCs w:val="22"/>
                <w:lang w:val="de-DE"/>
              </w:rPr>
              <w:t xml:space="preserve"> beauftragte Stelle weiter zur Wahrnehmung bereit ist und der Rechtsnachfolger des Urhebers die Urheberrechte an dem </w:t>
            </w:r>
            <w:proofErr w:type="spellStart"/>
            <w:r w:rsidRPr="00AA6F83">
              <w:rPr>
                <w:sz w:val="22"/>
                <w:szCs w:val="22"/>
                <w:lang w:val="de-DE"/>
              </w:rPr>
              <w:t>Nachlaß</w:t>
            </w:r>
            <w:proofErr w:type="spellEnd"/>
            <w:r w:rsidRPr="00AA6F83">
              <w:rPr>
                <w:sz w:val="22"/>
                <w:szCs w:val="22"/>
                <w:lang w:val="de-DE"/>
              </w:rPr>
              <w:t xml:space="preserve"> nicht selbst wahrnehmen will.</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c>
          <w:tcPr>
            <w:tcW w:w="225" w:type="dxa"/>
            <w:tcBorders>
              <w:top w:val="nil"/>
              <w:left w:val="nil"/>
              <w:bottom w:val="nil"/>
              <w:right w:val="nil"/>
            </w:tcBorders>
            <w:shd w:val="clear" w:color="auto" w:fill="auto"/>
          </w:tcPr>
          <w:p w:rsidR="00FE3437" w:rsidRPr="00AA6F83" w:rsidRDefault="00FE3437" w:rsidP="0061045B">
            <w:pPr>
              <w:widowControl/>
              <w:autoSpaceDE/>
              <w:autoSpaceDN/>
              <w:adjustRightInd/>
              <w:jc w:val="both"/>
              <w:rPr>
                <w:sz w:val="22"/>
                <w:szCs w:val="22"/>
                <w:lang w:val="de-DE"/>
              </w:rPr>
            </w:pPr>
            <w:r w:rsidRPr="00AA6F83">
              <w:rPr>
                <w:sz w:val="22"/>
                <w:szCs w:val="22"/>
                <w:lang w:val="de-DE"/>
              </w:rPr>
              <w:t> </w:t>
            </w:r>
          </w:p>
        </w:tc>
      </w:tr>
    </w:tbl>
    <w:p w:rsidR="00FE3437" w:rsidRPr="00AA6F83" w:rsidRDefault="00FE3437" w:rsidP="00FE3437">
      <w:pPr>
        <w:jc w:val="both"/>
        <w:rPr>
          <w:sz w:val="22"/>
          <w:szCs w:val="22"/>
          <w:lang w:val="de-DE"/>
        </w:rPr>
      </w:pPr>
    </w:p>
    <w:p w:rsidR="00FE3437" w:rsidRPr="00AA6F83" w:rsidRDefault="00FE3437" w:rsidP="00FE3437">
      <w:pPr>
        <w:jc w:val="both"/>
        <w:rPr>
          <w:sz w:val="22"/>
          <w:szCs w:val="22"/>
          <w:lang w:val="de-DE"/>
        </w:rPr>
      </w:pPr>
    </w:p>
    <w:p w:rsidR="00FE3437" w:rsidRPr="00AA6F83" w:rsidRDefault="00FE3437" w:rsidP="00FE3437">
      <w:pPr>
        <w:pStyle w:val="Listenabsatz"/>
        <w:numPr>
          <w:ilvl w:val="0"/>
          <w:numId w:val="6"/>
        </w:numPr>
        <w:jc w:val="both"/>
        <w:rPr>
          <w:rFonts w:ascii="Times New Roman" w:hAnsi="Times New Roman" w:cs="Times New Roman"/>
        </w:rPr>
      </w:pPr>
      <w:r w:rsidRPr="00AA6F83">
        <w:rPr>
          <w:rFonts w:ascii="Times New Roman" w:hAnsi="Times New Roman" w:cs="Times New Roman"/>
        </w:rPr>
        <w:t>Das Unternehmen „</w:t>
      </w:r>
      <w:proofErr w:type="spellStart"/>
      <w:r w:rsidRPr="00AA6F83">
        <w:rPr>
          <w:rFonts w:ascii="Times New Roman" w:hAnsi="Times New Roman" w:cs="Times New Roman"/>
        </w:rPr>
        <w:t>Busu</w:t>
      </w:r>
      <w:proofErr w:type="spellEnd"/>
      <w:r w:rsidRPr="00AA6F83">
        <w:rPr>
          <w:rFonts w:ascii="Times New Roman" w:hAnsi="Times New Roman" w:cs="Times New Roman"/>
        </w:rPr>
        <w:t xml:space="preserve">“ (B) produziert in Florenz Nachbauten von Bauhaus-Möbeln, etwa des legendären </w:t>
      </w:r>
      <w:proofErr w:type="spellStart"/>
      <w:r w:rsidRPr="00AA6F83">
        <w:rPr>
          <w:rFonts w:ascii="Times New Roman" w:hAnsi="Times New Roman" w:cs="Times New Roman"/>
        </w:rPr>
        <w:t>Corbusier</w:t>
      </w:r>
      <w:proofErr w:type="spellEnd"/>
      <w:r w:rsidR="00572254" w:rsidRPr="00AA6F83">
        <w:rPr>
          <w:rFonts w:ascii="Times New Roman" w:hAnsi="Times New Roman" w:cs="Times New Roman"/>
        </w:rPr>
        <w:t>-S</w:t>
      </w:r>
      <w:r w:rsidRPr="00AA6F83">
        <w:rPr>
          <w:rFonts w:ascii="Times New Roman" w:hAnsi="Times New Roman" w:cs="Times New Roman"/>
        </w:rPr>
        <w:t xml:space="preserve">ofas LC3. In Italien sind solche Möbel als angewandte Kunst nicht geschützt. Über das Internet bietet B die Möbel zum Ankauf auch in Deutschland an. Hochschullehrer T erwirbt eines der Möbel und fragt sich, ob oder unter welchen Voraussetzungen der Erwerb des </w:t>
      </w:r>
      <w:proofErr w:type="spellStart"/>
      <w:r w:rsidRPr="00AA6F83">
        <w:rPr>
          <w:rFonts w:ascii="Times New Roman" w:hAnsi="Times New Roman" w:cs="Times New Roman"/>
        </w:rPr>
        <w:t>Corbusier</w:t>
      </w:r>
      <w:proofErr w:type="spellEnd"/>
      <w:r w:rsidRPr="00AA6F83">
        <w:rPr>
          <w:rFonts w:ascii="Times New Roman" w:hAnsi="Times New Roman" w:cs="Times New Roman"/>
        </w:rPr>
        <w:t>-Sofas urheberrechtlich bedenklich ist.</w:t>
      </w:r>
    </w:p>
    <w:p w:rsidR="00FE3437" w:rsidRPr="00AA6F83" w:rsidRDefault="00FE3437" w:rsidP="00FE3437">
      <w:pPr>
        <w:jc w:val="both"/>
        <w:rPr>
          <w:sz w:val="22"/>
          <w:szCs w:val="22"/>
          <w:lang w:val="de-DE"/>
        </w:rPr>
      </w:pPr>
    </w:p>
    <w:p w:rsidR="00FE3437" w:rsidRPr="00AA6F83" w:rsidRDefault="00FE3437" w:rsidP="00FE3437">
      <w:pPr>
        <w:jc w:val="both"/>
        <w:rPr>
          <w:b/>
          <w:color w:val="000000"/>
          <w:sz w:val="22"/>
          <w:szCs w:val="22"/>
          <w:u w:val="single"/>
          <w:lang w:val="de-DE"/>
        </w:rPr>
      </w:pPr>
    </w:p>
    <w:p w:rsidR="00FE3437" w:rsidRPr="00AA6F83" w:rsidRDefault="00FE3437" w:rsidP="00FE3437">
      <w:pPr>
        <w:pStyle w:val="Listenabsatz"/>
        <w:numPr>
          <w:ilvl w:val="0"/>
          <w:numId w:val="6"/>
        </w:numPr>
        <w:jc w:val="both"/>
        <w:rPr>
          <w:rFonts w:ascii="Times New Roman" w:hAnsi="Times New Roman" w:cs="Times New Roman"/>
        </w:rPr>
      </w:pPr>
      <w:r w:rsidRPr="00AA6F83">
        <w:rPr>
          <w:rFonts w:ascii="Times New Roman" w:hAnsi="Times New Roman" w:cs="Times New Roman"/>
        </w:rPr>
        <w:t xml:space="preserve">Das Filmproduktionsunternehmen F beabsichtigt, den vom amerikanischen Schriftsteller Edgar Rice Burroughs im Jahr 1912 in den USA veröffentlichten Roman „Tarzan </w:t>
      </w:r>
      <w:proofErr w:type="spellStart"/>
      <w:r w:rsidRPr="00AA6F83">
        <w:rPr>
          <w:rFonts w:ascii="Times New Roman" w:hAnsi="Times New Roman" w:cs="Times New Roman"/>
        </w:rPr>
        <w:t>of</w:t>
      </w:r>
      <w:proofErr w:type="spellEnd"/>
      <w:r w:rsidRPr="00AA6F83">
        <w:rPr>
          <w:rFonts w:ascii="Times New Roman" w:hAnsi="Times New Roman" w:cs="Times New Roman"/>
        </w:rPr>
        <w:t xml:space="preserve"> </w:t>
      </w:r>
      <w:proofErr w:type="spellStart"/>
      <w:r w:rsidRPr="00AA6F83">
        <w:rPr>
          <w:rFonts w:ascii="Times New Roman" w:hAnsi="Times New Roman" w:cs="Times New Roman"/>
        </w:rPr>
        <w:t>the</w:t>
      </w:r>
      <w:proofErr w:type="spellEnd"/>
      <w:r w:rsidRPr="00AA6F83">
        <w:rPr>
          <w:rFonts w:ascii="Times New Roman" w:hAnsi="Times New Roman" w:cs="Times New Roman"/>
        </w:rPr>
        <w:t xml:space="preserve"> </w:t>
      </w:r>
      <w:proofErr w:type="spellStart"/>
      <w:r w:rsidRPr="00AA6F83">
        <w:rPr>
          <w:rFonts w:ascii="Times New Roman" w:hAnsi="Times New Roman" w:cs="Times New Roman"/>
        </w:rPr>
        <w:t>Apes</w:t>
      </w:r>
      <w:proofErr w:type="spellEnd"/>
      <w:r w:rsidRPr="00AA6F83">
        <w:rPr>
          <w:rFonts w:ascii="Times New Roman" w:hAnsi="Times New Roman" w:cs="Times New Roman"/>
        </w:rPr>
        <w:t xml:space="preserve">“ zu verfilmen und diesen Film auch in Deutschland zu vermarkten. Edgar Rice Burroughs verstarb im Jahr 1950. </w:t>
      </w:r>
    </w:p>
    <w:p w:rsidR="00FE3437" w:rsidRPr="00AA6F83" w:rsidRDefault="00FE3437" w:rsidP="00FE3437">
      <w:pPr>
        <w:pStyle w:val="Listenabsatz"/>
        <w:jc w:val="both"/>
        <w:rPr>
          <w:rFonts w:ascii="Times New Roman" w:hAnsi="Times New Roman" w:cs="Times New Roman"/>
        </w:rPr>
      </w:pPr>
    </w:p>
    <w:p w:rsidR="00FE3437" w:rsidRPr="00AA6F83" w:rsidRDefault="00FE3437" w:rsidP="00E324AC">
      <w:pPr>
        <w:pStyle w:val="Listenabsatz"/>
        <w:jc w:val="both"/>
        <w:rPr>
          <w:rFonts w:ascii="Times New Roman" w:hAnsi="Times New Roman" w:cs="Times New Roman"/>
        </w:rPr>
      </w:pPr>
      <w:r w:rsidRPr="00AA6F83">
        <w:rPr>
          <w:rFonts w:ascii="Times New Roman" w:hAnsi="Times New Roman" w:cs="Times New Roman"/>
        </w:rPr>
        <w:t xml:space="preserve">Die in Kalifornien ansässige Gesellschaft G verfügt über sämtliche Rechte an dem Roman (außer den Serial </w:t>
      </w:r>
      <w:proofErr w:type="spellStart"/>
      <w:r w:rsidRPr="00AA6F83">
        <w:rPr>
          <w:rFonts w:ascii="Times New Roman" w:hAnsi="Times New Roman" w:cs="Times New Roman"/>
        </w:rPr>
        <w:t>Rights</w:t>
      </w:r>
      <w:proofErr w:type="spellEnd"/>
      <w:r w:rsidRPr="00AA6F83">
        <w:rPr>
          <w:rFonts w:ascii="Times New Roman" w:hAnsi="Times New Roman" w:cs="Times New Roman"/>
        </w:rPr>
        <w:t xml:space="preserve">) und möchte dessen Verfilmung durch F verhindern, bzw. entsprechend von etwaigen Erträgen der Verwertung profitieren. G ist der Ansicht, dass das Werk in Deutschland noch bis zum 31. Dezember 2020 geschützt sei und will eine unentgeltliche Verwertung der Figur „Tarzan“ unterbinden. F war bislang davon ausgegangen, dass es sich bei „Tarzan“ seit dem 1. Januar 2001 um ein gemeinfreies Werk handele. </w:t>
      </w:r>
    </w:p>
    <w:p w:rsidR="00FE3437" w:rsidRPr="00AA6F83" w:rsidRDefault="00FE3437" w:rsidP="00E324AC">
      <w:pPr>
        <w:pStyle w:val="Listenabsatz"/>
        <w:jc w:val="both"/>
        <w:rPr>
          <w:rFonts w:ascii="Times New Roman" w:hAnsi="Times New Roman" w:cs="Times New Roman"/>
        </w:rPr>
      </w:pPr>
    </w:p>
    <w:p w:rsidR="00B4096E" w:rsidRPr="00AA6F83" w:rsidRDefault="00FE3437" w:rsidP="00E324AC">
      <w:pPr>
        <w:pStyle w:val="Listenabsatz"/>
        <w:jc w:val="both"/>
        <w:rPr>
          <w:rFonts w:ascii="Times New Roman" w:hAnsi="Times New Roman" w:cs="Times New Roman"/>
        </w:rPr>
      </w:pPr>
      <w:r w:rsidRPr="00AA6F83">
        <w:rPr>
          <w:rFonts w:ascii="Times New Roman" w:hAnsi="Times New Roman" w:cs="Times New Roman"/>
        </w:rPr>
        <w:t>Hat G einen Anspruch auf Unterlassung der Verfilmung des Werkes „</w:t>
      </w:r>
      <w:proofErr w:type="spellStart"/>
      <w:r w:rsidRPr="00AA6F83">
        <w:rPr>
          <w:rFonts w:ascii="Times New Roman" w:hAnsi="Times New Roman" w:cs="Times New Roman"/>
        </w:rPr>
        <w:t>Tarzen</w:t>
      </w:r>
      <w:proofErr w:type="spellEnd"/>
      <w:r w:rsidRPr="00AA6F83">
        <w:rPr>
          <w:rFonts w:ascii="Times New Roman" w:hAnsi="Times New Roman" w:cs="Times New Roman"/>
        </w:rPr>
        <w:t xml:space="preserve"> </w:t>
      </w:r>
      <w:proofErr w:type="spellStart"/>
      <w:r w:rsidRPr="00AA6F83">
        <w:rPr>
          <w:rFonts w:ascii="Times New Roman" w:hAnsi="Times New Roman" w:cs="Times New Roman"/>
        </w:rPr>
        <w:t>of</w:t>
      </w:r>
      <w:proofErr w:type="spellEnd"/>
      <w:r w:rsidR="00572254" w:rsidRPr="00AA6F83">
        <w:rPr>
          <w:rFonts w:ascii="Times New Roman" w:hAnsi="Times New Roman" w:cs="Times New Roman"/>
        </w:rPr>
        <w:t xml:space="preserve"> </w:t>
      </w:r>
      <w:proofErr w:type="spellStart"/>
      <w:r w:rsidR="00572254" w:rsidRPr="00AA6F83">
        <w:rPr>
          <w:rFonts w:ascii="Times New Roman" w:hAnsi="Times New Roman" w:cs="Times New Roman"/>
        </w:rPr>
        <w:t>t</w:t>
      </w:r>
      <w:r w:rsidRPr="00AA6F83">
        <w:rPr>
          <w:rFonts w:ascii="Times New Roman" w:hAnsi="Times New Roman" w:cs="Times New Roman"/>
        </w:rPr>
        <w:t>he</w:t>
      </w:r>
      <w:proofErr w:type="spellEnd"/>
      <w:r w:rsidRPr="00AA6F83">
        <w:rPr>
          <w:rFonts w:ascii="Times New Roman" w:hAnsi="Times New Roman" w:cs="Times New Roman"/>
        </w:rPr>
        <w:t xml:space="preserve"> </w:t>
      </w:r>
      <w:proofErr w:type="spellStart"/>
      <w:r w:rsidRPr="00AA6F83">
        <w:rPr>
          <w:rFonts w:ascii="Times New Roman" w:hAnsi="Times New Roman" w:cs="Times New Roman"/>
        </w:rPr>
        <w:t>Apes</w:t>
      </w:r>
      <w:proofErr w:type="spellEnd"/>
      <w:r w:rsidRPr="00AA6F83">
        <w:rPr>
          <w:rFonts w:ascii="Times New Roman" w:hAnsi="Times New Roman" w:cs="Times New Roman"/>
        </w:rPr>
        <w:t>“ gegen F? (BGH, Urteil vom 26. Februar 2014 – I ZR 49/13 – Tarzan)</w:t>
      </w:r>
    </w:p>
    <w:sectPr w:rsidR="00B4096E" w:rsidRPr="00AA6F83" w:rsidSect="006760E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BD" w:rsidRDefault="009A01BD" w:rsidP="009A01BD">
      <w:r>
        <w:separator/>
      </w:r>
    </w:p>
  </w:endnote>
  <w:endnote w:type="continuationSeparator" w:id="0">
    <w:p w:rsidR="009A01BD" w:rsidRDefault="009A01BD" w:rsidP="009A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BD" w:rsidRDefault="009A01BD" w:rsidP="009A01BD">
      <w:r>
        <w:separator/>
      </w:r>
    </w:p>
  </w:footnote>
  <w:footnote w:type="continuationSeparator" w:id="0">
    <w:p w:rsidR="009A01BD" w:rsidRDefault="009A01BD" w:rsidP="009A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BD" w:rsidRDefault="009A01BD">
    <w:pPr>
      <w:pStyle w:val="Kopfzeile"/>
      <w:rPr>
        <w:sz w:val="22"/>
        <w:szCs w:val="22"/>
      </w:rPr>
    </w:pPr>
    <w:r w:rsidRPr="00AA6F83">
      <w:rPr>
        <w:sz w:val="22"/>
        <w:szCs w:val="22"/>
      </w:rPr>
      <w:t>Prof. Dr. Thomas Hoeren</w:t>
    </w:r>
  </w:p>
  <w:p w:rsidR="009A01BD" w:rsidRPr="00AA6F83" w:rsidRDefault="009A01BD">
    <w:pPr>
      <w:pStyle w:val="Kopfzeil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733"/>
    <w:multiLevelType w:val="hybridMultilevel"/>
    <w:tmpl w:val="43EC1884"/>
    <w:lvl w:ilvl="0" w:tplc="22AA181C">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80639A"/>
    <w:multiLevelType w:val="hybridMultilevel"/>
    <w:tmpl w:val="43EC1884"/>
    <w:lvl w:ilvl="0" w:tplc="22AA181C">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BA5B70"/>
    <w:multiLevelType w:val="hybridMultilevel"/>
    <w:tmpl w:val="27EC1414"/>
    <w:lvl w:ilvl="0" w:tplc="A3125CF8">
      <w:start w:val="1"/>
      <w:numFmt w:val="upperRoman"/>
      <w:lvlText w:val="%1."/>
      <w:lvlJc w:val="left"/>
      <w:pPr>
        <w:ind w:left="720" w:hanging="720"/>
      </w:pPr>
      <w:rPr>
        <w:rFonts w:hint="default"/>
        <w:u w:val="singl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98676AB"/>
    <w:multiLevelType w:val="hybridMultilevel"/>
    <w:tmpl w:val="43EC1884"/>
    <w:lvl w:ilvl="0" w:tplc="22AA181C">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1363AC"/>
    <w:multiLevelType w:val="hybridMultilevel"/>
    <w:tmpl w:val="AFF274AE"/>
    <w:lvl w:ilvl="0" w:tplc="965A91BE">
      <w:start w:val="1"/>
      <w:numFmt w:val="upperRoman"/>
      <w:suff w:val="space"/>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DF27282"/>
    <w:multiLevelType w:val="hybridMultilevel"/>
    <w:tmpl w:val="CCAC6010"/>
    <w:lvl w:ilvl="0" w:tplc="2526AF6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B8"/>
    <w:rsid w:val="000328B7"/>
    <w:rsid w:val="00054963"/>
    <w:rsid w:val="000C0543"/>
    <w:rsid w:val="00103D23"/>
    <w:rsid w:val="00297725"/>
    <w:rsid w:val="003B2655"/>
    <w:rsid w:val="00444D20"/>
    <w:rsid w:val="004C33C4"/>
    <w:rsid w:val="005420CD"/>
    <w:rsid w:val="00572254"/>
    <w:rsid w:val="005E6E65"/>
    <w:rsid w:val="00611D08"/>
    <w:rsid w:val="006760EA"/>
    <w:rsid w:val="006C6873"/>
    <w:rsid w:val="006E17F3"/>
    <w:rsid w:val="00735618"/>
    <w:rsid w:val="00740D6C"/>
    <w:rsid w:val="007D7A40"/>
    <w:rsid w:val="00844934"/>
    <w:rsid w:val="008B3A39"/>
    <w:rsid w:val="00933CD4"/>
    <w:rsid w:val="009A01BD"/>
    <w:rsid w:val="009A5A3D"/>
    <w:rsid w:val="00A7408F"/>
    <w:rsid w:val="00A808B8"/>
    <w:rsid w:val="00AA6F83"/>
    <w:rsid w:val="00B4096E"/>
    <w:rsid w:val="00B46860"/>
    <w:rsid w:val="00B6311D"/>
    <w:rsid w:val="00C47BEC"/>
    <w:rsid w:val="00CE4019"/>
    <w:rsid w:val="00D873EF"/>
    <w:rsid w:val="00DC6FA7"/>
    <w:rsid w:val="00DD2C0A"/>
    <w:rsid w:val="00E25E26"/>
    <w:rsid w:val="00E324AC"/>
    <w:rsid w:val="00E711F7"/>
    <w:rsid w:val="00E76836"/>
    <w:rsid w:val="00FE343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CB87696-D5D7-4B33-9F21-A1F22CC7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08B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rsid w:val="00A808B8"/>
    <w:pPr>
      <w:widowControl/>
      <w:adjustRightInd/>
      <w:spacing w:line="360" w:lineRule="auto"/>
      <w:jc w:val="both"/>
    </w:pPr>
    <w:rPr>
      <w:i/>
      <w:iCs/>
      <w:szCs w:val="20"/>
      <w:lang w:val="tn-ZA"/>
    </w:rPr>
  </w:style>
  <w:style w:type="character" w:customStyle="1" w:styleId="Textkrper3Zchn">
    <w:name w:val="Textkörper 3 Zchn"/>
    <w:basedOn w:val="Absatz-Standardschriftart"/>
    <w:link w:val="Textkrper3"/>
    <w:rsid w:val="00A808B8"/>
    <w:rPr>
      <w:rFonts w:ascii="Times New Roman" w:eastAsia="Times New Roman" w:hAnsi="Times New Roman" w:cs="Times New Roman"/>
      <w:i/>
      <w:iCs/>
      <w:sz w:val="24"/>
      <w:szCs w:val="20"/>
      <w:lang w:val="tn-ZA" w:eastAsia="de-DE"/>
    </w:rPr>
  </w:style>
  <w:style w:type="character" w:styleId="Fett">
    <w:name w:val="Strong"/>
    <w:basedOn w:val="Absatz-Standardschriftart"/>
    <w:uiPriority w:val="22"/>
    <w:qFormat/>
    <w:rsid w:val="00A808B8"/>
    <w:rPr>
      <w:b/>
      <w:bCs/>
    </w:rPr>
  </w:style>
  <w:style w:type="paragraph" w:styleId="Sprechblasentext">
    <w:name w:val="Balloon Text"/>
    <w:basedOn w:val="Standard"/>
    <w:link w:val="SprechblasentextZchn"/>
    <w:uiPriority w:val="99"/>
    <w:semiHidden/>
    <w:unhideWhenUsed/>
    <w:rsid w:val="00444D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4D20"/>
    <w:rPr>
      <w:rFonts w:ascii="Tahoma" w:eastAsia="Times New Roman" w:hAnsi="Tahoma" w:cs="Tahoma"/>
      <w:sz w:val="16"/>
      <w:szCs w:val="16"/>
      <w:lang w:val="en-US" w:eastAsia="de-DE"/>
    </w:rPr>
  </w:style>
  <w:style w:type="paragraph" w:styleId="Listenabsatz">
    <w:name w:val="List Paragraph"/>
    <w:basedOn w:val="Standard"/>
    <w:uiPriority w:val="34"/>
    <w:qFormat/>
    <w:rsid w:val="004C33C4"/>
    <w:pPr>
      <w:widowControl/>
      <w:autoSpaceDE/>
      <w:autoSpaceDN/>
      <w:adjustRightInd/>
      <w:spacing w:after="200" w:line="276" w:lineRule="auto"/>
      <w:ind w:left="720"/>
      <w:contextualSpacing/>
    </w:pPr>
    <w:rPr>
      <w:rFonts w:asciiTheme="minorHAnsi" w:eastAsiaTheme="minorHAnsi" w:hAnsiTheme="minorHAnsi" w:cstheme="minorBidi"/>
      <w:sz w:val="22"/>
      <w:szCs w:val="22"/>
      <w:lang w:val="de-DE" w:eastAsia="en-US"/>
    </w:rPr>
  </w:style>
  <w:style w:type="paragraph" w:styleId="Kopfzeile">
    <w:name w:val="header"/>
    <w:basedOn w:val="Standard"/>
    <w:link w:val="KopfzeileZchn"/>
    <w:uiPriority w:val="99"/>
    <w:unhideWhenUsed/>
    <w:rsid w:val="009A01BD"/>
    <w:pPr>
      <w:tabs>
        <w:tab w:val="center" w:pos="4536"/>
        <w:tab w:val="right" w:pos="9072"/>
      </w:tabs>
    </w:pPr>
  </w:style>
  <w:style w:type="character" w:customStyle="1" w:styleId="KopfzeileZchn">
    <w:name w:val="Kopfzeile Zchn"/>
    <w:basedOn w:val="Absatz-Standardschriftart"/>
    <w:link w:val="Kopfzeile"/>
    <w:uiPriority w:val="99"/>
    <w:rsid w:val="009A01BD"/>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9A01BD"/>
    <w:pPr>
      <w:tabs>
        <w:tab w:val="center" w:pos="4536"/>
        <w:tab w:val="right" w:pos="9072"/>
      </w:tabs>
    </w:pPr>
  </w:style>
  <w:style w:type="character" w:customStyle="1" w:styleId="FuzeileZchn">
    <w:name w:val="Fußzeile Zchn"/>
    <w:basedOn w:val="Absatz-Standardschriftart"/>
    <w:link w:val="Fuzeile"/>
    <w:uiPriority w:val="99"/>
    <w:rsid w:val="009A01BD"/>
    <w:rPr>
      <w:rFonts w:ascii="Times New Roman" w:eastAsia="Times New Roman" w:hAnsi="Times New Roman" w:cs="Times New Roman"/>
      <w:sz w:val="24"/>
      <w:szCs w:val="24"/>
      <w:lang w:val="en-US" w:eastAsia="de-DE"/>
    </w:rPr>
  </w:style>
  <w:style w:type="paragraph" w:styleId="berarbeitung">
    <w:name w:val="Revision"/>
    <w:hidden/>
    <w:uiPriority w:val="99"/>
    <w:semiHidden/>
    <w:rsid w:val="009A5A3D"/>
    <w:pPr>
      <w:spacing w:after="0" w:line="240" w:lineRule="auto"/>
    </w:pPr>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11481</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Rechtswissenschaftliche Fakultät / IVV FB03</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epped</dc:creator>
  <cp:lastModifiedBy>Eppe, Doris</cp:lastModifiedBy>
  <cp:revision>3</cp:revision>
  <dcterms:created xsi:type="dcterms:W3CDTF">2020-03-26T13:16:00Z</dcterms:created>
  <dcterms:modified xsi:type="dcterms:W3CDTF">2020-03-26T13:22:00Z</dcterms:modified>
</cp:coreProperties>
</file>