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006" w:rsidRDefault="00A02006" w:rsidP="000D369C">
      <w:pPr>
        <w:tabs>
          <w:tab w:val="center" w:pos="-1134"/>
          <w:tab w:val="left" w:pos="0"/>
          <w:tab w:val="center" w:pos="4819"/>
        </w:tabs>
        <w:jc w:val="both"/>
        <w:rPr>
          <w:rFonts w:asciiTheme="minorHAnsi" w:hAnsiTheme="minorHAnsi"/>
          <w:b/>
          <w:noProof/>
          <w:lang w:val="de-DE"/>
        </w:rPr>
      </w:pPr>
    </w:p>
    <w:p w:rsidR="00A02006" w:rsidRPr="00957C54" w:rsidRDefault="00A02006" w:rsidP="00957C54">
      <w:pPr>
        <w:tabs>
          <w:tab w:val="center" w:pos="-1134"/>
          <w:tab w:val="left" w:pos="0"/>
          <w:tab w:val="center" w:pos="4819"/>
        </w:tabs>
        <w:jc w:val="center"/>
        <w:rPr>
          <w:b/>
          <w:noProof/>
          <w:sz w:val="26"/>
          <w:szCs w:val="26"/>
          <w:lang w:val="de-DE"/>
        </w:rPr>
      </w:pPr>
      <w:r w:rsidRPr="00957C54">
        <w:rPr>
          <w:b/>
          <w:noProof/>
          <w:sz w:val="26"/>
          <w:szCs w:val="26"/>
          <w:lang w:val="de-DE"/>
        </w:rPr>
        <w:t>Vorlesung Urheberrecht</w:t>
      </w:r>
    </w:p>
    <w:p w:rsidR="00A02006" w:rsidRDefault="00957C54" w:rsidP="00957C54">
      <w:pPr>
        <w:tabs>
          <w:tab w:val="center" w:pos="-1134"/>
          <w:tab w:val="left" w:pos="0"/>
          <w:tab w:val="center" w:pos="4819"/>
        </w:tabs>
        <w:jc w:val="center"/>
        <w:rPr>
          <w:b/>
          <w:noProof/>
          <w:sz w:val="26"/>
          <w:szCs w:val="26"/>
          <w:lang w:val="de-DE"/>
        </w:rPr>
      </w:pPr>
      <w:r>
        <w:rPr>
          <w:b/>
          <w:noProof/>
          <w:sz w:val="26"/>
          <w:szCs w:val="26"/>
          <w:lang w:val="de-DE"/>
        </w:rPr>
        <w:t>Sommersemester 2020</w:t>
      </w:r>
      <w:bookmarkStart w:id="0" w:name="_GoBack"/>
      <w:bookmarkEnd w:id="0"/>
    </w:p>
    <w:p w:rsidR="00A02006" w:rsidRPr="00957C54" w:rsidRDefault="00A02006" w:rsidP="00957C54">
      <w:pPr>
        <w:tabs>
          <w:tab w:val="center" w:pos="-1134"/>
          <w:tab w:val="left" w:pos="0"/>
          <w:tab w:val="center" w:pos="4819"/>
        </w:tabs>
        <w:jc w:val="center"/>
        <w:rPr>
          <w:b/>
          <w:noProof/>
          <w:sz w:val="26"/>
          <w:szCs w:val="26"/>
          <w:lang w:val="de-DE"/>
        </w:rPr>
      </w:pPr>
    </w:p>
    <w:p w:rsidR="000D369C" w:rsidRPr="00957C54" w:rsidRDefault="000D369C" w:rsidP="000D369C">
      <w:pPr>
        <w:tabs>
          <w:tab w:val="center" w:pos="-1134"/>
          <w:tab w:val="left" w:pos="0"/>
          <w:tab w:val="center" w:pos="4819"/>
        </w:tabs>
        <w:jc w:val="both"/>
        <w:rPr>
          <w:b/>
          <w:noProof/>
          <w:sz w:val="22"/>
          <w:szCs w:val="22"/>
          <w:lang w:val="de-DE"/>
        </w:rPr>
      </w:pPr>
      <w:r w:rsidRPr="00957C54">
        <w:rPr>
          <w:b/>
          <w:noProof/>
          <w:sz w:val="22"/>
          <w:szCs w:val="22"/>
          <w:lang w:val="de-DE"/>
        </w:rPr>
        <w:t>Arbeitspapier Nr. 14: Der Schutz von Computerprogrammen</w:t>
      </w:r>
    </w:p>
    <w:p w:rsidR="000D369C" w:rsidRPr="00957C54" w:rsidRDefault="000D369C" w:rsidP="000D369C">
      <w:pPr>
        <w:tabs>
          <w:tab w:val="center" w:pos="-1134"/>
          <w:tab w:val="left" w:pos="1983"/>
          <w:tab w:val="center" w:pos="4819"/>
        </w:tabs>
        <w:jc w:val="both"/>
        <w:rPr>
          <w:noProof/>
          <w:sz w:val="22"/>
          <w:szCs w:val="22"/>
          <w:u w:val="single"/>
          <w:lang w:val="de-DE"/>
        </w:rPr>
      </w:pPr>
    </w:p>
    <w:p w:rsidR="000D369C" w:rsidRPr="00957C54" w:rsidRDefault="000D369C" w:rsidP="005531F7">
      <w:pPr>
        <w:pStyle w:val="Listenabsatz"/>
        <w:numPr>
          <w:ilvl w:val="0"/>
          <w:numId w:val="1"/>
        </w:numPr>
        <w:tabs>
          <w:tab w:val="center" w:pos="-1134"/>
          <w:tab w:val="left" w:pos="1983"/>
          <w:tab w:val="center" w:pos="4819"/>
        </w:tabs>
        <w:jc w:val="both"/>
        <w:rPr>
          <w:b/>
          <w:noProof/>
          <w:sz w:val="22"/>
          <w:szCs w:val="22"/>
          <w:lang w:val="de-DE"/>
        </w:rPr>
      </w:pPr>
      <w:r w:rsidRPr="00957C54">
        <w:rPr>
          <w:b/>
          <w:noProof/>
          <w:sz w:val="22"/>
          <w:szCs w:val="22"/>
          <w:u w:val="single"/>
          <w:lang w:val="de-DE"/>
        </w:rPr>
        <w:t>Vertiefungshinweise</w:t>
      </w:r>
      <w:r w:rsidR="00F404D0" w:rsidRPr="00957C54">
        <w:rPr>
          <w:b/>
          <w:noProof/>
          <w:sz w:val="22"/>
          <w:szCs w:val="22"/>
          <w:lang w:val="de-DE"/>
        </w:rPr>
        <w:t>:</w:t>
      </w:r>
    </w:p>
    <w:p w:rsidR="00D30AC4" w:rsidRPr="00957C54" w:rsidRDefault="00D30AC4" w:rsidP="005531F7">
      <w:pPr>
        <w:pStyle w:val="Listenabsatz"/>
        <w:tabs>
          <w:tab w:val="center" w:pos="-1134"/>
          <w:tab w:val="left" w:pos="1983"/>
          <w:tab w:val="center" w:pos="4819"/>
        </w:tabs>
        <w:ind w:left="1080"/>
        <w:jc w:val="both"/>
        <w:rPr>
          <w:noProof/>
          <w:sz w:val="22"/>
          <w:szCs w:val="22"/>
          <w:lang w:val="de-DE"/>
        </w:rPr>
      </w:pPr>
    </w:p>
    <w:p w:rsidR="009404EC" w:rsidRPr="00957C54" w:rsidRDefault="000D369C" w:rsidP="00957C54">
      <w:pPr>
        <w:pBdr>
          <w:top w:val="single" w:sz="4" w:space="1" w:color="auto"/>
          <w:left w:val="single" w:sz="4" w:space="4" w:color="auto"/>
          <w:bottom w:val="single" w:sz="4" w:space="1" w:color="auto"/>
          <w:right w:val="single" w:sz="4" w:space="4" w:color="auto"/>
        </w:pBdr>
        <w:jc w:val="both"/>
        <w:rPr>
          <w:sz w:val="20"/>
          <w:szCs w:val="22"/>
          <w:lang w:val="de-DE"/>
        </w:rPr>
      </w:pPr>
      <w:proofErr w:type="spellStart"/>
      <w:r w:rsidRPr="00957C54">
        <w:rPr>
          <w:i/>
          <w:sz w:val="20"/>
          <w:szCs w:val="22"/>
          <w:lang w:val="de-DE"/>
        </w:rPr>
        <w:t>Hertin</w:t>
      </w:r>
      <w:proofErr w:type="spellEnd"/>
      <w:r w:rsidRPr="00957C54">
        <w:rPr>
          <w:i/>
          <w:sz w:val="20"/>
          <w:szCs w:val="22"/>
          <w:lang w:val="de-DE"/>
        </w:rPr>
        <w:t>,</w:t>
      </w:r>
      <w:r w:rsidRPr="00957C54">
        <w:rPr>
          <w:sz w:val="20"/>
          <w:szCs w:val="22"/>
          <w:lang w:val="de-DE"/>
        </w:rPr>
        <w:t xml:space="preserve"> Urheberrecht, 2. Aufl., München 2008, </w:t>
      </w:r>
      <w:proofErr w:type="spellStart"/>
      <w:r w:rsidRPr="00957C54">
        <w:rPr>
          <w:sz w:val="20"/>
          <w:szCs w:val="22"/>
          <w:lang w:val="de-DE"/>
        </w:rPr>
        <w:t>Rn</w:t>
      </w:r>
      <w:proofErr w:type="spellEnd"/>
      <w:r w:rsidRPr="00957C54">
        <w:rPr>
          <w:sz w:val="20"/>
          <w:szCs w:val="22"/>
          <w:lang w:val="de-DE"/>
        </w:rPr>
        <w:t>. 200ff.; Rehbinder, Urheberrecht,</w:t>
      </w:r>
      <w:r w:rsidR="00856839" w:rsidRPr="00957C54">
        <w:rPr>
          <w:sz w:val="20"/>
          <w:szCs w:val="22"/>
          <w:lang w:val="de-DE"/>
        </w:rPr>
        <w:t xml:space="preserve"> 16</w:t>
      </w:r>
      <w:r w:rsidRPr="00957C54">
        <w:rPr>
          <w:sz w:val="20"/>
          <w:szCs w:val="22"/>
          <w:lang w:val="de-DE"/>
        </w:rPr>
        <w:t xml:space="preserve">. Aufl., München </w:t>
      </w:r>
      <w:r w:rsidR="00856839" w:rsidRPr="00957C54">
        <w:rPr>
          <w:sz w:val="20"/>
          <w:szCs w:val="22"/>
          <w:lang w:val="de-DE"/>
        </w:rPr>
        <w:t>2010</w:t>
      </w:r>
      <w:r w:rsidRPr="00957C54">
        <w:rPr>
          <w:sz w:val="20"/>
          <w:szCs w:val="22"/>
          <w:lang w:val="de-DE"/>
        </w:rPr>
        <w:t xml:space="preserve">, </w:t>
      </w:r>
      <w:r w:rsidR="009404EC" w:rsidRPr="00957C54">
        <w:rPr>
          <w:sz w:val="20"/>
          <w:szCs w:val="22"/>
          <w:lang w:val="de-DE"/>
        </w:rPr>
        <w:t xml:space="preserve">    </w:t>
      </w:r>
      <w:r w:rsidR="008D1FE8" w:rsidRPr="00957C54">
        <w:rPr>
          <w:sz w:val="20"/>
          <w:szCs w:val="22"/>
          <w:lang w:val="de-DE"/>
        </w:rPr>
        <w:t>§ 12</w:t>
      </w:r>
      <w:r w:rsidRPr="00957C54">
        <w:rPr>
          <w:sz w:val="20"/>
          <w:szCs w:val="22"/>
          <w:lang w:val="de-DE"/>
        </w:rPr>
        <w:t xml:space="preserve">; </w:t>
      </w:r>
      <w:proofErr w:type="spellStart"/>
      <w:r w:rsidRPr="00957C54">
        <w:rPr>
          <w:i/>
          <w:sz w:val="20"/>
          <w:szCs w:val="22"/>
          <w:lang w:val="de-DE"/>
        </w:rPr>
        <w:t>Alpert</w:t>
      </w:r>
      <w:proofErr w:type="spellEnd"/>
      <w:r w:rsidRPr="00957C54">
        <w:rPr>
          <w:i/>
          <w:sz w:val="20"/>
          <w:szCs w:val="22"/>
          <w:lang w:val="de-DE"/>
        </w:rPr>
        <w:t>,</w:t>
      </w:r>
      <w:r w:rsidRPr="00957C54">
        <w:rPr>
          <w:sz w:val="20"/>
          <w:szCs w:val="22"/>
          <w:lang w:val="de-DE"/>
        </w:rPr>
        <w:t xml:space="preserve"> Kommerzielle Online-Nutzung von Computerprogrammen, CR 2000, 345; </w:t>
      </w:r>
      <w:r w:rsidRPr="00957C54">
        <w:rPr>
          <w:i/>
          <w:sz w:val="20"/>
          <w:szCs w:val="22"/>
          <w:lang w:val="de-DE"/>
        </w:rPr>
        <w:t>Baus,</w:t>
      </w:r>
      <w:r w:rsidRPr="00957C54">
        <w:rPr>
          <w:sz w:val="20"/>
          <w:szCs w:val="22"/>
          <w:lang w:val="de-DE"/>
        </w:rPr>
        <w:t xml:space="preserve"> Umgehung der Erschöpfungswirkung durch Zurückhaltung von Nutzungsrechten, MMR 2002, 14; </w:t>
      </w:r>
      <w:r w:rsidRPr="00957C54">
        <w:rPr>
          <w:i/>
          <w:sz w:val="20"/>
          <w:szCs w:val="22"/>
          <w:lang w:val="de-DE"/>
        </w:rPr>
        <w:t>Bayreuther,</w:t>
      </w:r>
      <w:r w:rsidRPr="00957C54">
        <w:rPr>
          <w:sz w:val="20"/>
          <w:szCs w:val="22"/>
          <w:lang w:val="de-DE"/>
        </w:rPr>
        <w:t xml:space="preserve"> Zum Verhältnis zwischen Arbeits- Urheber- und Arbeitsnehmererfindungsrecht, GRUR 2003, 570; </w:t>
      </w:r>
      <w:r w:rsidRPr="00957C54">
        <w:rPr>
          <w:i/>
          <w:sz w:val="20"/>
          <w:szCs w:val="22"/>
          <w:lang w:val="de-DE"/>
        </w:rPr>
        <w:t>Berger,</w:t>
      </w:r>
      <w:r w:rsidRPr="00957C54">
        <w:rPr>
          <w:sz w:val="20"/>
          <w:szCs w:val="22"/>
          <w:lang w:val="de-DE"/>
        </w:rPr>
        <w:t xml:space="preserve"> Urheberrechtliche Erschöpfungslehre und digitale Informationstechnologie, GRUR 2002,</w:t>
      </w:r>
      <w:r w:rsidR="009404EC" w:rsidRPr="00957C54">
        <w:rPr>
          <w:sz w:val="20"/>
          <w:szCs w:val="22"/>
          <w:lang w:val="de-DE"/>
        </w:rPr>
        <w:t xml:space="preserve"> </w:t>
      </w:r>
      <w:r w:rsidRPr="00957C54">
        <w:rPr>
          <w:sz w:val="20"/>
          <w:szCs w:val="22"/>
          <w:lang w:val="de-DE"/>
        </w:rPr>
        <w:t xml:space="preserve">198; Grützmacher, Das Recht des Softwarevertriebs, ITRB 2003, 199; </w:t>
      </w:r>
      <w:r w:rsidRPr="00957C54">
        <w:rPr>
          <w:i/>
          <w:sz w:val="20"/>
          <w:szCs w:val="22"/>
          <w:lang w:val="de-DE"/>
        </w:rPr>
        <w:t>Koch,</w:t>
      </w:r>
      <w:r w:rsidRPr="00957C54">
        <w:rPr>
          <w:sz w:val="20"/>
          <w:szCs w:val="22"/>
          <w:lang w:val="de-DE"/>
        </w:rPr>
        <w:t xml:space="preserve"> Urheberrechtliche Beschränkungen und Kontrolle von Software-Nutzung, CR 2002, 629</w:t>
      </w:r>
      <w:r w:rsidR="0033542E" w:rsidRPr="00957C54">
        <w:rPr>
          <w:sz w:val="20"/>
          <w:szCs w:val="22"/>
          <w:lang w:val="de-DE"/>
        </w:rPr>
        <w:t xml:space="preserve">; </w:t>
      </w:r>
      <w:r w:rsidR="0054771F" w:rsidRPr="00957C54">
        <w:rPr>
          <w:i/>
          <w:sz w:val="20"/>
          <w:szCs w:val="22"/>
          <w:lang w:val="de-DE"/>
        </w:rPr>
        <w:t>Marly,</w:t>
      </w:r>
      <w:r w:rsidR="0054771F" w:rsidRPr="00957C54">
        <w:rPr>
          <w:sz w:val="20"/>
          <w:szCs w:val="22"/>
          <w:lang w:val="de-DE"/>
        </w:rPr>
        <w:t xml:space="preserve"> Der Schutzgegenstand des urheberrechtlichen Softwareschutzes, GRUR 2012, 773;</w:t>
      </w:r>
      <w:r w:rsidR="0077049B" w:rsidRPr="00957C54">
        <w:rPr>
          <w:sz w:val="20"/>
          <w:szCs w:val="22"/>
          <w:lang w:val="de-DE"/>
        </w:rPr>
        <w:t xml:space="preserve"> </w:t>
      </w:r>
      <w:r w:rsidR="0033542E" w:rsidRPr="00957C54">
        <w:rPr>
          <w:i/>
          <w:sz w:val="20"/>
          <w:szCs w:val="22"/>
          <w:lang w:val="de-DE"/>
        </w:rPr>
        <w:t>Hoeren/</w:t>
      </w:r>
      <w:proofErr w:type="spellStart"/>
      <w:r w:rsidR="0033542E" w:rsidRPr="00957C54">
        <w:rPr>
          <w:i/>
          <w:sz w:val="20"/>
          <w:szCs w:val="22"/>
          <w:lang w:val="de-DE"/>
        </w:rPr>
        <w:t>Försterling</w:t>
      </w:r>
      <w:proofErr w:type="spellEnd"/>
      <w:r w:rsidR="0033542E" w:rsidRPr="00957C54">
        <w:rPr>
          <w:i/>
          <w:sz w:val="20"/>
          <w:szCs w:val="22"/>
          <w:lang w:val="de-DE"/>
        </w:rPr>
        <w:t>,</w:t>
      </w:r>
      <w:r w:rsidR="0033542E" w:rsidRPr="00957C54">
        <w:rPr>
          <w:sz w:val="20"/>
          <w:szCs w:val="22"/>
          <w:lang w:val="de-DE"/>
        </w:rPr>
        <w:t xml:space="preserve"> Onlinevertrieb gebrauchter Software – Hintergründe und Konsequenzen der EuGH-Entscheidung „</w:t>
      </w:r>
      <w:proofErr w:type="spellStart"/>
      <w:r w:rsidR="0033542E" w:rsidRPr="00957C54">
        <w:rPr>
          <w:sz w:val="20"/>
          <w:szCs w:val="22"/>
          <w:lang w:val="de-DE"/>
        </w:rPr>
        <w:t>UsedSoft</w:t>
      </w:r>
      <w:proofErr w:type="spellEnd"/>
      <w:r w:rsidR="0033542E" w:rsidRPr="00957C54">
        <w:rPr>
          <w:sz w:val="20"/>
          <w:szCs w:val="22"/>
          <w:lang w:val="de-DE"/>
        </w:rPr>
        <w:t>“, MMR 2012, 642</w:t>
      </w:r>
      <w:r w:rsidR="00AA375E" w:rsidRPr="00957C54">
        <w:rPr>
          <w:sz w:val="20"/>
          <w:szCs w:val="22"/>
          <w:lang w:val="de-DE"/>
        </w:rPr>
        <w:t xml:space="preserve">; </w:t>
      </w:r>
      <w:r w:rsidR="00AA375E" w:rsidRPr="00957C54">
        <w:rPr>
          <w:i/>
          <w:sz w:val="20"/>
          <w:szCs w:val="22"/>
          <w:lang w:val="de-DE"/>
        </w:rPr>
        <w:t>Spindler,</w:t>
      </w:r>
      <w:r w:rsidR="00AA375E" w:rsidRPr="00957C54">
        <w:rPr>
          <w:sz w:val="20"/>
          <w:szCs w:val="22"/>
          <w:lang w:val="de-DE"/>
        </w:rPr>
        <w:t xml:space="preserve"> Grenzen des Softwareschutzes, CR 2012, 417</w:t>
      </w:r>
      <w:r w:rsidR="00B101E5" w:rsidRPr="00957C54">
        <w:rPr>
          <w:sz w:val="20"/>
          <w:szCs w:val="22"/>
          <w:lang w:val="de-DE"/>
        </w:rPr>
        <w:t>.</w:t>
      </w:r>
    </w:p>
    <w:p w:rsidR="000D369C" w:rsidRPr="00957C54" w:rsidRDefault="000D369C" w:rsidP="000D369C">
      <w:pPr>
        <w:jc w:val="both"/>
        <w:rPr>
          <w:sz w:val="22"/>
          <w:szCs w:val="22"/>
          <w:lang w:val="de-DE"/>
        </w:rPr>
      </w:pPr>
    </w:p>
    <w:p w:rsidR="00A31000" w:rsidRPr="00957C54" w:rsidRDefault="000D369C" w:rsidP="005531F7">
      <w:pPr>
        <w:pStyle w:val="Listenabsatz"/>
        <w:numPr>
          <w:ilvl w:val="0"/>
          <w:numId w:val="1"/>
        </w:numPr>
        <w:jc w:val="both"/>
        <w:rPr>
          <w:b/>
          <w:sz w:val="22"/>
          <w:szCs w:val="22"/>
          <w:lang w:val="de-DE"/>
        </w:rPr>
      </w:pPr>
      <w:r w:rsidRPr="00957C54">
        <w:rPr>
          <w:b/>
          <w:sz w:val="22"/>
          <w:szCs w:val="22"/>
          <w:u w:val="single"/>
          <w:lang w:val="de-DE"/>
        </w:rPr>
        <w:t>Hinweise</w:t>
      </w:r>
      <w:r w:rsidR="008C3487" w:rsidRPr="00957C54">
        <w:rPr>
          <w:b/>
          <w:sz w:val="22"/>
          <w:szCs w:val="22"/>
          <w:u w:val="single"/>
          <w:lang w:val="de-DE"/>
        </w:rPr>
        <w:t>:</w:t>
      </w:r>
    </w:p>
    <w:p w:rsidR="000D369C" w:rsidRPr="00957C54" w:rsidRDefault="000D369C" w:rsidP="005531F7">
      <w:pPr>
        <w:pStyle w:val="Listenabsatz"/>
        <w:ind w:left="1080"/>
        <w:jc w:val="both"/>
        <w:rPr>
          <w:sz w:val="22"/>
          <w:szCs w:val="22"/>
          <w:lang w:val="de-DE"/>
        </w:rPr>
      </w:pPr>
    </w:p>
    <w:p w:rsidR="000D369C" w:rsidRPr="00957C54" w:rsidRDefault="000D369C" w:rsidP="005531F7">
      <w:pPr>
        <w:pStyle w:val="Listenabsatz"/>
        <w:widowControl/>
        <w:numPr>
          <w:ilvl w:val="0"/>
          <w:numId w:val="2"/>
        </w:numPr>
        <w:autoSpaceDE/>
        <w:autoSpaceDN/>
        <w:adjustRightInd/>
        <w:jc w:val="both"/>
        <w:rPr>
          <w:sz w:val="22"/>
          <w:szCs w:val="22"/>
          <w:lang w:val="de-DE"/>
        </w:rPr>
      </w:pPr>
      <w:r w:rsidRPr="00957C54">
        <w:rPr>
          <w:sz w:val="22"/>
          <w:szCs w:val="22"/>
          <w:lang w:val="de-DE"/>
        </w:rPr>
        <w:t>Gem. § 2 Abs. 1 Nr.</w:t>
      </w:r>
      <w:r w:rsidR="00B101E5" w:rsidRPr="00957C54">
        <w:rPr>
          <w:sz w:val="22"/>
          <w:szCs w:val="22"/>
          <w:lang w:val="de-DE"/>
        </w:rPr>
        <w:t xml:space="preserve"> </w:t>
      </w:r>
      <w:r w:rsidRPr="00957C54">
        <w:rPr>
          <w:sz w:val="22"/>
          <w:szCs w:val="22"/>
          <w:lang w:val="de-DE"/>
        </w:rPr>
        <w:t xml:space="preserve">1 UrhG gehören Computerprogramme zu den </w:t>
      </w:r>
      <w:r w:rsidRPr="00957C54">
        <w:rPr>
          <w:sz w:val="22"/>
          <w:szCs w:val="22"/>
          <w:u w:val="single"/>
          <w:lang w:val="de-DE"/>
        </w:rPr>
        <w:t>Sprachwerken</w:t>
      </w:r>
      <w:r w:rsidRPr="00957C54">
        <w:rPr>
          <w:sz w:val="22"/>
          <w:szCs w:val="22"/>
          <w:lang w:val="de-DE"/>
        </w:rPr>
        <w:t xml:space="preserve">. Sie werden definiert als eine Folge von Befehlen, die nach Aufnahme in einen maschinenlesbaren Träger fähig sind zu bewirken, dass eine Maschine mit informationsverarbeitenden Fähigkeiten eine bestimmte Funktion oder Aufgabe oder ein bestimmtes Ergebnis anzeigt, ausführt oder erzielt. Der Schutz von Computerprogrammen ist in den </w:t>
      </w:r>
      <w:r w:rsidRPr="00957C54">
        <w:rPr>
          <w:sz w:val="22"/>
          <w:szCs w:val="22"/>
          <w:u w:val="single"/>
          <w:lang w:val="de-DE"/>
        </w:rPr>
        <w:t>§</w:t>
      </w:r>
      <w:r w:rsidR="00B101E5" w:rsidRPr="00957C54">
        <w:rPr>
          <w:sz w:val="22"/>
          <w:szCs w:val="22"/>
          <w:u w:val="single"/>
          <w:lang w:val="de-DE"/>
        </w:rPr>
        <w:t>§</w:t>
      </w:r>
      <w:r w:rsidRPr="00957C54">
        <w:rPr>
          <w:sz w:val="22"/>
          <w:szCs w:val="22"/>
          <w:u w:val="single"/>
          <w:lang w:val="de-DE"/>
        </w:rPr>
        <w:t xml:space="preserve"> 69a</w:t>
      </w:r>
      <w:r w:rsidR="00B101E5" w:rsidRPr="00957C54">
        <w:rPr>
          <w:sz w:val="22"/>
          <w:szCs w:val="22"/>
          <w:u w:val="single"/>
          <w:lang w:val="de-DE"/>
        </w:rPr>
        <w:t>-</w:t>
      </w:r>
      <w:r w:rsidR="00206F27" w:rsidRPr="00957C54">
        <w:rPr>
          <w:sz w:val="22"/>
          <w:szCs w:val="22"/>
          <w:u w:val="single"/>
          <w:lang w:val="de-DE"/>
        </w:rPr>
        <w:t>69</w:t>
      </w:r>
      <w:r w:rsidRPr="00957C54">
        <w:rPr>
          <w:sz w:val="22"/>
          <w:szCs w:val="22"/>
          <w:u w:val="single"/>
          <w:lang w:val="de-DE"/>
        </w:rPr>
        <w:t>g</w:t>
      </w:r>
      <w:r w:rsidR="00B101E5" w:rsidRPr="00957C54">
        <w:rPr>
          <w:sz w:val="22"/>
          <w:szCs w:val="22"/>
          <w:u w:val="single"/>
          <w:lang w:val="de-DE"/>
        </w:rPr>
        <w:t xml:space="preserve"> UrhG</w:t>
      </w:r>
      <w:r w:rsidRPr="00957C54">
        <w:rPr>
          <w:sz w:val="22"/>
          <w:szCs w:val="22"/>
          <w:lang w:val="de-DE"/>
        </w:rPr>
        <w:t xml:space="preserve"> gesondert geregelt, ansonsten finden gem. § 69a Abs. 4 UrhG die für Sprachwerke geltenden Bestimmungen (§§ 15 ff. UrhG) Anwendung. Es gelten grundsätzlich die Ansprüche der §§ 97 ff. UrhG, wobei jedoch neben de</w:t>
      </w:r>
      <w:r w:rsidR="00B101E5" w:rsidRPr="00957C54">
        <w:rPr>
          <w:sz w:val="22"/>
          <w:szCs w:val="22"/>
          <w:lang w:val="de-DE"/>
        </w:rPr>
        <w:t>m</w:t>
      </w:r>
      <w:r w:rsidRPr="00957C54">
        <w:rPr>
          <w:sz w:val="22"/>
          <w:szCs w:val="22"/>
          <w:lang w:val="de-DE"/>
        </w:rPr>
        <w:t xml:space="preserve"> Vernichtungsanspruch der Anspruch aus § 69f UrhG hinzukommt, der die Vernichtung von Raubkopien gegenüber jedermann durchsetzen kann. Die Darlegungs- und Beweislast liegt beim Verletzten, wobei häufig das Recht auf Wahrung der Betriebsgeheimnisse des </w:t>
      </w:r>
      <w:proofErr w:type="spellStart"/>
      <w:r w:rsidRPr="00957C54">
        <w:rPr>
          <w:sz w:val="22"/>
          <w:szCs w:val="22"/>
          <w:lang w:val="de-DE"/>
        </w:rPr>
        <w:t>Verletzers</w:t>
      </w:r>
      <w:proofErr w:type="spellEnd"/>
      <w:r w:rsidRPr="00957C54">
        <w:rPr>
          <w:sz w:val="22"/>
          <w:szCs w:val="22"/>
          <w:lang w:val="de-DE"/>
        </w:rPr>
        <w:t xml:space="preserve"> entgegensteht. In diesem Fall wird auf den Besichtigungsanspruch gem. § 809 BGB zurückgegriffen. </w:t>
      </w:r>
    </w:p>
    <w:p w:rsidR="000D369C" w:rsidRPr="00957C54" w:rsidRDefault="000D369C" w:rsidP="000D369C">
      <w:pPr>
        <w:jc w:val="both"/>
        <w:rPr>
          <w:sz w:val="22"/>
          <w:szCs w:val="22"/>
          <w:lang w:val="de-DE"/>
        </w:rPr>
      </w:pPr>
    </w:p>
    <w:p w:rsidR="00F404D0" w:rsidRPr="00957C54" w:rsidRDefault="000D369C" w:rsidP="005531F7">
      <w:pPr>
        <w:pStyle w:val="Listenabsatz"/>
        <w:widowControl/>
        <w:numPr>
          <w:ilvl w:val="0"/>
          <w:numId w:val="2"/>
        </w:numPr>
        <w:autoSpaceDE/>
        <w:autoSpaceDN/>
        <w:adjustRightInd/>
        <w:jc w:val="both"/>
        <w:rPr>
          <w:sz w:val="22"/>
          <w:szCs w:val="22"/>
          <w:lang w:val="de-DE"/>
        </w:rPr>
      </w:pPr>
      <w:r w:rsidRPr="00957C54">
        <w:rPr>
          <w:sz w:val="22"/>
          <w:szCs w:val="22"/>
          <w:lang w:val="de-DE"/>
        </w:rPr>
        <w:t>§</w:t>
      </w:r>
      <w:r w:rsidR="009404EC" w:rsidRPr="00957C54">
        <w:rPr>
          <w:sz w:val="22"/>
          <w:szCs w:val="22"/>
          <w:lang w:val="de-DE"/>
        </w:rPr>
        <w:t xml:space="preserve"> </w:t>
      </w:r>
      <w:r w:rsidRPr="00957C54">
        <w:rPr>
          <w:sz w:val="22"/>
          <w:szCs w:val="22"/>
          <w:lang w:val="de-DE"/>
        </w:rPr>
        <w:t>69b bildet eine Sonderregelung zu § 43 UrhG und regelt den Schutz von Programmen, die während eines Dienst- oder Arbeitsverhältnisses entstehen</w:t>
      </w:r>
      <w:r w:rsidR="00B101E5" w:rsidRPr="00957C54">
        <w:rPr>
          <w:sz w:val="22"/>
          <w:szCs w:val="22"/>
          <w:lang w:val="de-DE"/>
        </w:rPr>
        <w:t>,</w:t>
      </w:r>
      <w:r w:rsidRPr="00957C54">
        <w:rPr>
          <w:sz w:val="22"/>
          <w:szCs w:val="22"/>
          <w:lang w:val="de-DE"/>
        </w:rPr>
        <w:t xml:space="preserve"> </w:t>
      </w:r>
      <w:r w:rsidRPr="00957C54">
        <w:rPr>
          <w:sz w:val="22"/>
          <w:szCs w:val="22"/>
          <w:u w:val="single"/>
          <w:lang w:val="de-DE"/>
        </w:rPr>
        <w:t>zugunsten des Dienstherrn/Arbeitgebers</w:t>
      </w:r>
      <w:r w:rsidRPr="00957C54">
        <w:rPr>
          <w:sz w:val="22"/>
          <w:szCs w:val="22"/>
          <w:lang w:val="de-DE"/>
        </w:rPr>
        <w:t xml:space="preserve">. Demnach hat </w:t>
      </w:r>
      <w:r w:rsidR="00B7346E" w:rsidRPr="00957C54">
        <w:rPr>
          <w:sz w:val="22"/>
          <w:szCs w:val="22"/>
          <w:lang w:val="de-DE"/>
        </w:rPr>
        <w:t>dieser</w:t>
      </w:r>
      <w:r w:rsidRPr="00957C54">
        <w:rPr>
          <w:sz w:val="22"/>
          <w:szCs w:val="22"/>
          <w:lang w:val="de-DE"/>
        </w:rPr>
        <w:t xml:space="preserve"> grundsätzlich alle vermögensrechtlichen Befugnisse an den Programmen. </w:t>
      </w:r>
    </w:p>
    <w:p w:rsidR="000D369C" w:rsidRPr="00957C54" w:rsidRDefault="000D369C" w:rsidP="000D369C">
      <w:pPr>
        <w:jc w:val="both"/>
        <w:rPr>
          <w:sz w:val="22"/>
          <w:szCs w:val="22"/>
          <w:lang w:val="de-DE"/>
        </w:rPr>
      </w:pPr>
    </w:p>
    <w:p w:rsidR="00F404D0" w:rsidRPr="00957C54" w:rsidRDefault="000D369C" w:rsidP="005531F7">
      <w:pPr>
        <w:pStyle w:val="Listenabsatz"/>
        <w:widowControl/>
        <w:numPr>
          <w:ilvl w:val="0"/>
          <w:numId w:val="2"/>
        </w:numPr>
        <w:autoSpaceDE/>
        <w:autoSpaceDN/>
        <w:adjustRightInd/>
        <w:jc w:val="both"/>
        <w:rPr>
          <w:sz w:val="22"/>
          <w:szCs w:val="22"/>
          <w:lang w:val="de-DE"/>
        </w:rPr>
      </w:pPr>
      <w:r w:rsidRPr="00957C54">
        <w:rPr>
          <w:sz w:val="22"/>
          <w:szCs w:val="22"/>
          <w:lang w:val="de-DE"/>
        </w:rPr>
        <w:t xml:space="preserve">§ 69c UrhG normiert die </w:t>
      </w:r>
      <w:r w:rsidRPr="00957C54">
        <w:rPr>
          <w:sz w:val="22"/>
          <w:szCs w:val="22"/>
          <w:u w:val="single"/>
          <w:lang w:val="de-DE"/>
        </w:rPr>
        <w:t>Rechte des Urhebers an Computerprogrammen</w:t>
      </w:r>
      <w:r w:rsidRPr="00957C54">
        <w:rPr>
          <w:sz w:val="22"/>
          <w:szCs w:val="22"/>
          <w:lang w:val="de-DE"/>
        </w:rPr>
        <w:t>.</w:t>
      </w:r>
    </w:p>
    <w:p w:rsidR="000D369C" w:rsidRPr="00957C54" w:rsidRDefault="000D369C" w:rsidP="000D369C">
      <w:pPr>
        <w:ind w:left="360"/>
        <w:jc w:val="both"/>
        <w:rPr>
          <w:sz w:val="22"/>
          <w:szCs w:val="22"/>
          <w:lang w:val="de-DE"/>
        </w:rPr>
      </w:pPr>
    </w:p>
    <w:p w:rsidR="000D369C" w:rsidRPr="00957C54" w:rsidRDefault="000D369C" w:rsidP="005531F7">
      <w:pPr>
        <w:pStyle w:val="Listenabsatz"/>
        <w:widowControl/>
        <w:numPr>
          <w:ilvl w:val="0"/>
          <w:numId w:val="2"/>
        </w:numPr>
        <w:autoSpaceDE/>
        <w:autoSpaceDN/>
        <w:adjustRightInd/>
        <w:jc w:val="both"/>
        <w:rPr>
          <w:sz w:val="22"/>
          <w:szCs w:val="22"/>
          <w:lang w:val="de-DE"/>
        </w:rPr>
      </w:pPr>
      <w:r w:rsidRPr="00957C54">
        <w:rPr>
          <w:sz w:val="22"/>
          <w:szCs w:val="22"/>
          <w:lang w:val="de-DE"/>
        </w:rPr>
        <w:t xml:space="preserve">Beim </w:t>
      </w:r>
      <w:r w:rsidRPr="00957C54">
        <w:rPr>
          <w:sz w:val="22"/>
          <w:szCs w:val="22"/>
          <w:u w:val="single"/>
          <w:lang w:val="de-DE"/>
        </w:rPr>
        <w:t>computerrechtlichen Vervielfältigungsrecht</w:t>
      </w:r>
      <w:r w:rsidRPr="00957C54">
        <w:rPr>
          <w:sz w:val="22"/>
          <w:szCs w:val="22"/>
          <w:lang w:val="de-DE"/>
        </w:rPr>
        <w:t xml:space="preserve"> gem. § 69c Nr.</w:t>
      </w:r>
      <w:r w:rsidR="00532BEC" w:rsidRPr="00957C54">
        <w:rPr>
          <w:sz w:val="22"/>
          <w:szCs w:val="22"/>
          <w:lang w:val="de-DE"/>
        </w:rPr>
        <w:t xml:space="preserve"> </w:t>
      </w:r>
      <w:r w:rsidRPr="00957C54">
        <w:rPr>
          <w:sz w:val="22"/>
          <w:szCs w:val="22"/>
          <w:lang w:val="de-DE"/>
        </w:rPr>
        <w:t xml:space="preserve">1 UrhG wird der allgemeine Vervielfältigungsbegriff gebraucht, </w:t>
      </w:r>
      <w:r w:rsidR="009404EC" w:rsidRPr="00957C54">
        <w:rPr>
          <w:sz w:val="22"/>
          <w:szCs w:val="22"/>
          <w:lang w:val="de-DE"/>
        </w:rPr>
        <w:t>sodass</w:t>
      </w:r>
      <w:r w:rsidRPr="00957C54">
        <w:rPr>
          <w:sz w:val="22"/>
          <w:szCs w:val="22"/>
          <w:lang w:val="de-DE"/>
        </w:rPr>
        <w:t xml:space="preserve"> jegliches Abspeichern auf geeigneten Datenträgern wie z.B. auf CDs oder Disketten und auch bei Übernahme von Programmstrukturen</w:t>
      </w:r>
      <w:r w:rsidR="009404EC" w:rsidRPr="00957C54">
        <w:rPr>
          <w:sz w:val="22"/>
          <w:szCs w:val="22"/>
          <w:lang w:val="de-DE"/>
        </w:rPr>
        <w:t xml:space="preserve"> davon umfasst ist</w:t>
      </w:r>
      <w:r w:rsidRPr="00957C54">
        <w:rPr>
          <w:sz w:val="22"/>
          <w:szCs w:val="22"/>
          <w:lang w:val="de-DE"/>
        </w:rPr>
        <w:t xml:space="preserve">. Es reicht aus, wenn ein kleiner Teil übernommen wird. Auch vorübergehendes </w:t>
      </w:r>
      <w:r w:rsidR="00B7346E" w:rsidRPr="00957C54">
        <w:rPr>
          <w:sz w:val="22"/>
          <w:szCs w:val="22"/>
          <w:lang w:val="de-DE"/>
        </w:rPr>
        <w:t>V</w:t>
      </w:r>
      <w:r w:rsidRPr="00957C54">
        <w:rPr>
          <w:sz w:val="22"/>
          <w:szCs w:val="22"/>
          <w:lang w:val="de-DE"/>
        </w:rPr>
        <w:t xml:space="preserve">ervielfältigen </w:t>
      </w:r>
      <w:r w:rsidR="00A616B9" w:rsidRPr="00957C54">
        <w:rPr>
          <w:sz w:val="22"/>
          <w:szCs w:val="22"/>
          <w:lang w:val="de-DE"/>
        </w:rPr>
        <w:t>ist</w:t>
      </w:r>
      <w:r w:rsidR="009404EC" w:rsidRPr="00957C54">
        <w:rPr>
          <w:sz w:val="22"/>
          <w:szCs w:val="22"/>
          <w:lang w:val="de-DE"/>
        </w:rPr>
        <w:t xml:space="preserve"> </w:t>
      </w:r>
      <w:r w:rsidRPr="00957C54">
        <w:rPr>
          <w:sz w:val="22"/>
          <w:szCs w:val="22"/>
          <w:lang w:val="de-DE"/>
        </w:rPr>
        <w:t>zustimmungs</w:t>
      </w:r>
      <w:r w:rsidR="009404EC" w:rsidRPr="00957C54">
        <w:rPr>
          <w:sz w:val="22"/>
          <w:szCs w:val="22"/>
          <w:lang w:val="de-DE"/>
        </w:rPr>
        <w:t>-</w:t>
      </w:r>
      <w:r w:rsidRPr="00957C54">
        <w:rPr>
          <w:sz w:val="22"/>
          <w:szCs w:val="22"/>
          <w:lang w:val="de-DE"/>
        </w:rPr>
        <w:t>bedürftig</w:t>
      </w:r>
      <w:r w:rsidR="009404EC" w:rsidRPr="00957C54">
        <w:rPr>
          <w:sz w:val="22"/>
          <w:szCs w:val="22"/>
          <w:lang w:val="de-DE"/>
        </w:rPr>
        <w:t>. D</w:t>
      </w:r>
      <w:r w:rsidRPr="00957C54">
        <w:rPr>
          <w:sz w:val="22"/>
          <w:szCs w:val="22"/>
          <w:lang w:val="de-DE"/>
        </w:rPr>
        <w:t>arunter fällt jedoch nicht das bloße Aufrufen auf dem Bildschirm. Ob mit dem reinen Programmablauf eine Vervielfältigung zu bejahen ist, ist umstritten.</w:t>
      </w:r>
    </w:p>
    <w:p w:rsidR="000D369C" w:rsidRPr="00957C54" w:rsidRDefault="000D369C" w:rsidP="000D369C">
      <w:pPr>
        <w:jc w:val="both"/>
        <w:rPr>
          <w:sz w:val="22"/>
          <w:szCs w:val="22"/>
          <w:lang w:val="de-DE"/>
        </w:rPr>
      </w:pPr>
    </w:p>
    <w:p w:rsidR="000D369C" w:rsidRPr="00957C54" w:rsidRDefault="000D369C" w:rsidP="005531F7">
      <w:pPr>
        <w:pStyle w:val="Listenabsatz"/>
        <w:widowControl/>
        <w:numPr>
          <w:ilvl w:val="0"/>
          <w:numId w:val="2"/>
        </w:numPr>
        <w:autoSpaceDE/>
        <w:autoSpaceDN/>
        <w:adjustRightInd/>
        <w:jc w:val="both"/>
        <w:rPr>
          <w:sz w:val="22"/>
          <w:szCs w:val="22"/>
          <w:lang w:val="de-DE"/>
        </w:rPr>
      </w:pPr>
      <w:r w:rsidRPr="00957C54">
        <w:rPr>
          <w:sz w:val="22"/>
          <w:szCs w:val="22"/>
          <w:lang w:val="de-DE"/>
        </w:rPr>
        <w:t xml:space="preserve">Das </w:t>
      </w:r>
      <w:r w:rsidRPr="00957C54">
        <w:rPr>
          <w:sz w:val="22"/>
          <w:szCs w:val="22"/>
          <w:u w:val="single"/>
          <w:lang w:val="de-DE"/>
        </w:rPr>
        <w:t>Recht zur Umarbeitung</w:t>
      </w:r>
      <w:r w:rsidRPr="00957C54">
        <w:rPr>
          <w:sz w:val="22"/>
          <w:szCs w:val="22"/>
          <w:lang w:val="de-DE"/>
        </w:rPr>
        <w:t xml:space="preserve"> gem. § 69c Nr. 2 UrhG normiert ein Herstellungsverbot, </w:t>
      </w:r>
      <w:r w:rsidR="00A616B9" w:rsidRPr="00957C54">
        <w:rPr>
          <w:sz w:val="22"/>
          <w:szCs w:val="22"/>
          <w:lang w:val="de-DE"/>
        </w:rPr>
        <w:t>das über</w:t>
      </w:r>
      <w:r w:rsidRPr="00957C54">
        <w:rPr>
          <w:sz w:val="22"/>
          <w:szCs w:val="22"/>
          <w:lang w:val="de-DE"/>
        </w:rPr>
        <w:t xml:space="preserve"> ein </w:t>
      </w:r>
      <w:r w:rsidR="00A616B9" w:rsidRPr="00957C54">
        <w:rPr>
          <w:sz w:val="22"/>
          <w:szCs w:val="22"/>
          <w:lang w:val="de-DE"/>
        </w:rPr>
        <w:t xml:space="preserve">einfaches </w:t>
      </w:r>
      <w:r w:rsidRPr="00957C54">
        <w:rPr>
          <w:sz w:val="22"/>
          <w:szCs w:val="22"/>
          <w:lang w:val="de-DE"/>
        </w:rPr>
        <w:t xml:space="preserve">Veröffentlichungsverbot wie </w:t>
      </w:r>
      <w:r w:rsidR="00A616B9" w:rsidRPr="00957C54">
        <w:rPr>
          <w:sz w:val="22"/>
          <w:szCs w:val="22"/>
          <w:lang w:val="de-DE"/>
        </w:rPr>
        <w:t xml:space="preserve">in </w:t>
      </w:r>
      <w:r w:rsidRPr="00957C54">
        <w:rPr>
          <w:sz w:val="22"/>
          <w:szCs w:val="22"/>
          <w:lang w:val="de-DE"/>
        </w:rPr>
        <w:t>§</w:t>
      </w:r>
      <w:r w:rsidR="00A616B9" w:rsidRPr="00957C54">
        <w:rPr>
          <w:sz w:val="22"/>
          <w:szCs w:val="22"/>
          <w:lang w:val="de-DE"/>
        </w:rPr>
        <w:t> </w:t>
      </w:r>
      <w:r w:rsidRPr="00957C54">
        <w:rPr>
          <w:sz w:val="22"/>
          <w:szCs w:val="22"/>
          <w:lang w:val="de-DE"/>
        </w:rPr>
        <w:t>23</w:t>
      </w:r>
      <w:r w:rsidR="00A616B9" w:rsidRPr="00957C54">
        <w:rPr>
          <w:sz w:val="22"/>
          <w:szCs w:val="22"/>
          <w:lang w:val="de-DE"/>
        </w:rPr>
        <w:t> </w:t>
      </w:r>
      <w:r w:rsidRPr="00957C54">
        <w:rPr>
          <w:sz w:val="22"/>
          <w:szCs w:val="22"/>
          <w:lang w:val="de-DE"/>
        </w:rPr>
        <w:t>UrhG</w:t>
      </w:r>
      <w:r w:rsidR="00A616B9" w:rsidRPr="00957C54">
        <w:rPr>
          <w:sz w:val="22"/>
          <w:szCs w:val="22"/>
          <w:lang w:val="de-DE"/>
        </w:rPr>
        <w:t xml:space="preserve"> hinausgeht</w:t>
      </w:r>
      <w:r w:rsidRPr="00957C54">
        <w:rPr>
          <w:sz w:val="22"/>
          <w:szCs w:val="22"/>
          <w:lang w:val="de-DE"/>
        </w:rPr>
        <w:t xml:space="preserve">. </w:t>
      </w:r>
      <w:r w:rsidR="00B7346E" w:rsidRPr="00957C54">
        <w:rPr>
          <w:sz w:val="22"/>
          <w:szCs w:val="22"/>
          <w:lang w:val="de-DE"/>
        </w:rPr>
        <w:t xml:space="preserve">Dies muss jedoch </w:t>
      </w:r>
      <w:r w:rsidRPr="00957C54">
        <w:rPr>
          <w:sz w:val="22"/>
          <w:szCs w:val="22"/>
          <w:lang w:val="de-DE"/>
        </w:rPr>
        <w:t>auch hier von der freien Benutzung</w:t>
      </w:r>
      <w:r w:rsidR="00B7346E" w:rsidRPr="00957C54">
        <w:rPr>
          <w:sz w:val="22"/>
          <w:szCs w:val="22"/>
          <w:lang w:val="de-DE"/>
        </w:rPr>
        <w:t xml:space="preserve"> nach § 24 UrhG</w:t>
      </w:r>
      <w:r w:rsidRPr="00957C54">
        <w:rPr>
          <w:sz w:val="22"/>
          <w:szCs w:val="22"/>
          <w:lang w:val="de-DE"/>
        </w:rPr>
        <w:t xml:space="preserve"> abgegrenzt werden. Es werden beispielhaft drei Varianten genannt: Die Übersetzung, d.h. die Programmübertragung in eine andere Programmiersprache oder vom Source- in den Objektcode</w:t>
      </w:r>
      <w:r w:rsidR="005A432E" w:rsidRPr="00957C54">
        <w:rPr>
          <w:sz w:val="22"/>
          <w:szCs w:val="22"/>
          <w:lang w:val="de-DE"/>
        </w:rPr>
        <w:t>,</w:t>
      </w:r>
      <w:r w:rsidRPr="00957C54">
        <w:rPr>
          <w:sz w:val="22"/>
          <w:szCs w:val="22"/>
          <w:lang w:val="de-DE"/>
        </w:rPr>
        <w:t xml:space="preserve"> die Bearbeitung, d.h. d</w:t>
      </w:r>
      <w:r w:rsidR="005A432E" w:rsidRPr="00957C54">
        <w:rPr>
          <w:sz w:val="22"/>
          <w:szCs w:val="22"/>
          <w:lang w:val="de-DE"/>
        </w:rPr>
        <w:t>ie</w:t>
      </w:r>
      <w:r w:rsidRPr="00957C54">
        <w:rPr>
          <w:sz w:val="22"/>
          <w:szCs w:val="22"/>
          <w:lang w:val="de-DE"/>
        </w:rPr>
        <w:t xml:space="preserve"> Ergänzung des Source- oder Objekt-Codes</w:t>
      </w:r>
      <w:r w:rsidR="005A432E" w:rsidRPr="00957C54">
        <w:rPr>
          <w:sz w:val="22"/>
          <w:szCs w:val="22"/>
          <w:lang w:val="de-DE"/>
        </w:rPr>
        <w:t>,</w:t>
      </w:r>
      <w:r w:rsidRPr="00957C54">
        <w:rPr>
          <w:sz w:val="22"/>
          <w:szCs w:val="22"/>
          <w:lang w:val="de-DE"/>
        </w:rPr>
        <w:t xml:space="preserve"> und das Arrangement. Eingeschränkt ist das Recht durch §</w:t>
      </w:r>
      <w:r w:rsidR="009404EC" w:rsidRPr="00957C54">
        <w:rPr>
          <w:sz w:val="22"/>
          <w:szCs w:val="22"/>
          <w:lang w:val="de-DE"/>
        </w:rPr>
        <w:t>§</w:t>
      </w:r>
      <w:r w:rsidRPr="00957C54">
        <w:rPr>
          <w:sz w:val="22"/>
          <w:szCs w:val="22"/>
          <w:lang w:val="de-DE"/>
        </w:rPr>
        <w:t xml:space="preserve"> 69d Abs. 1 und 69e UrhG.</w:t>
      </w:r>
    </w:p>
    <w:p w:rsidR="000D369C" w:rsidRPr="00957C54" w:rsidRDefault="000D369C" w:rsidP="000D369C">
      <w:pPr>
        <w:ind w:left="360"/>
        <w:jc w:val="both"/>
        <w:rPr>
          <w:sz w:val="22"/>
          <w:szCs w:val="22"/>
          <w:lang w:val="de-DE"/>
        </w:rPr>
      </w:pPr>
    </w:p>
    <w:p w:rsidR="000D369C" w:rsidRPr="00957C54" w:rsidRDefault="000D369C" w:rsidP="005531F7">
      <w:pPr>
        <w:pStyle w:val="Listenabsatz"/>
        <w:widowControl/>
        <w:numPr>
          <w:ilvl w:val="0"/>
          <w:numId w:val="2"/>
        </w:numPr>
        <w:autoSpaceDE/>
        <w:autoSpaceDN/>
        <w:adjustRightInd/>
        <w:jc w:val="both"/>
        <w:rPr>
          <w:sz w:val="22"/>
          <w:szCs w:val="22"/>
          <w:lang w:val="de-DE"/>
        </w:rPr>
      </w:pPr>
      <w:r w:rsidRPr="00957C54">
        <w:rPr>
          <w:sz w:val="22"/>
          <w:szCs w:val="22"/>
          <w:lang w:val="de-DE"/>
        </w:rPr>
        <w:lastRenderedPageBreak/>
        <w:t xml:space="preserve">Das </w:t>
      </w:r>
      <w:r w:rsidRPr="00957C54">
        <w:rPr>
          <w:sz w:val="22"/>
          <w:szCs w:val="22"/>
          <w:u w:val="single"/>
          <w:lang w:val="de-DE"/>
        </w:rPr>
        <w:t>Verbreitungsrecht</w:t>
      </w:r>
      <w:r w:rsidRPr="00957C54">
        <w:rPr>
          <w:sz w:val="22"/>
          <w:szCs w:val="22"/>
          <w:lang w:val="de-DE"/>
        </w:rPr>
        <w:t xml:space="preserve"> nach § 69c Nr. 3 </w:t>
      </w:r>
      <w:r w:rsidR="00954F7A" w:rsidRPr="00957C54">
        <w:rPr>
          <w:sz w:val="22"/>
          <w:szCs w:val="22"/>
          <w:lang w:val="de-DE"/>
        </w:rPr>
        <w:t xml:space="preserve">UrhG </w:t>
      </w:r>
      <w:r w:rsidR="00A616B9" w:rsidRPr="00957C54">
        <w:rPr>
          <w:sz w:val="22"/>
          <w:szCs w:val="22"/>
          <w:lang w:val="de-DE"/>
        </w:rPr>
        <w:t xml:space="preserve">umfasst </w:t>
      </w:r>
      <w:r w:rsidRPr="00957C54">
        <w:rPr>
          <w:sz w:val="22"/>
          <w:szCs w:val="22"/>
          <w:lang w:val="de-DE"/>
        </w:rPr>
        <w:t xml:space="preserve">das Recht des öffentlichen Angebots </w:t>
      </w:r>
      <w:r w:rsidR="00BB2D59" w:rsidRPr="00957C54">
        <w:rPr>
          <w:sz w:val="22"/>
          <w:szCs w:val="22"/>
          <w:lang w:val="de-DE"/>
        </w:rPr>
        <w:t>bzw. des</w:t>
      </w:r>
      <w:r w:rsidRPr="00957C54">
        <w:rPr>
          <w:sz w:val="22"/>
          <w:szCs w:val="22"/>
          <w:lang w:val="de-DE"/>
        </w:rPr>
        <w:t xml:space="preserve"> Inverkehrbringens</w:t>
      </w:r>
      <w:r w:rsidR="00954F7A" w:rsidRPr="00957C54">
        <w:rPr>
          <w:sz w:val="22"/>
          <w:szCs w:val="22"/>
          <w:lang w:val="de-DE"/>
        </w:rPr>
        <w:t>,</w:t>
      </w:r>
      <w:r w:rsidRPr="00957C54">
        <w:rPr>
          <w:sz w:val="22"/>
          <w:szCs w:val="22"/>
          <w:lang w:val="de-DE"/>
        </w:rPr>
        <w:t xml:space="preserve"> sowie </w:t>
      </w:r>
      <w:r w:rsidR="00BB2D59" w:rsidRPr="00957C54">
        <w:rPr>
          <w:sz w:val="22"/>
          <w:szCs w:val="22"/>
          <w:lang w:val="de-DE"/>
        </w:rPr>
        <w:t xml:space="preserve">das Recht </w:t>
      </w:r>
      <w:r w:rsidR="00A616B9" w:rsidRPr="00957C54">
        <w:rPr>
          <w:sz w:val="22"/>
          <w:szCs w:val="22"/>
          <w:lang w:val="de-DE"/>
        </w:rPr>
        <w:t xml:space="preserve">zur </w:t>
      </w:r>
      <w:r w:rsidR="00BB2D59" w:rsidRPr="00957C54">
        <w:rPr>
          <w:sz w:val="22"/>
          <w:szCs w:val="22"/>
          <w:lang w:val="de-DE"/>
        </w:rPr>
        <w:t>Vermietung</w:t>
      </w:r>
      <w:r w:rsidRPr="00957C54">
        <w:rPr>
          <w:sz w:val="22"/>
          <w:szCs w:val="22"/>
          <w:lang w:val="de-DE"/>
        </w:rPr>
        <w:t xml:space="preserve"> des Werkstücks. </w:t>
      </w:r>
      <w:r w:rsidR="00A616B9" w:rsidRPr="00957C54">
        <w:rPr>
          <w:sz w:val="22"/>
          <w:szCs w:val="22"/>
          <w:lang w:val="de-DE"/>
        </w:rPr>
        <w:t>Für den</w:t>
      </w:r>
      <w:r w:rsidRPr="00957C54">
        <w:rPr>
          <w:sz w:val="22"/>
          <w:szCs w:val="22"/>
          <w:lang w:val="de-DE"/>
        </w:rPr>
        <w:t xml:space="preserve"> Begriff der Verbreitung </w:t>
      </w:r>
      <w:r w:rsidR="00A616B9" w:rsidRPr="00957C54">
        <w:rPr>
          <w:sz w:val="22"/>
          <w:szCs w:val="22"/>
          <w:lang w:val="de-DE"/>
        </w:rPr>
        <w:t xml:space="preserve">wird auf </w:t>
      </w:r>
      <w:r w:rsidRPr="00957C54">
        <w:rPr>
          <w:sz w:val="22"/>
          <w:szCs w:val="22"/>
          <w:lang w:val="de-DE"/>
        </w:rPr>
        <w:t>§</w:t>
      </w:r>
      <w:r w:rsidR="00A616B9" w:rsidRPr="00957C54">
        <w:rPr>
          <w:sz w:val="22"/>
          <w:szCs w:val="22"/>
          <w:lang w:val="de-DE"/>
        </w:rPr>
        <w:t> </w:t>
      </w:r>
      <w:r w:rsidRPr="00957C54">
        <w:rPr>
          <w:sz w:val="22"/>
          <w:szCs w:val="22"/>
          <w:lang w:val="de-DE"/>
        </w:rPr>
        <w:t>17</w:t>
      </w:r>
      <w:r w:rsidR="00A616B9" w:rsidRPr="00957C54">
        <w:rPr>
          <w:sz w:val="22"/>
          <w:szCs w:val="22"/>
          <w:lang w:val="de-DE"/>
        </w:rPr>
        <w:t> </w:t>
      </w:r>
      <w:r w:rsidRPr="00957C54">
        <w:rPr>
          <w:sz w:val="22"/>
          <w:szCs w:val="22"/>
          <w:lang w:val="de-DE"/>
        </w:rPr>
        <w:t>Abs.</w:t>
      </w:r>
      <w:r w:rsidR="00A616B9" w:rsidRPr="00957C54">
        <w:rPr>
          <w:sz w:val="22"/>
          <w:szCs w:val="22"/>
          <w:lang w:val="de-DE"/>
        </w:rPr>
        <w:t> </w:t>
      </w:r>
      <w:r w:rsidRPr="00957C54">
        <w:rPr>
          <w:sz w:val="22"/>
          <w:szCs w:val="22"/>
          <w:lang w:val="de-DE"/>
        </w:rPr>
        <w:t>1</w:t>
      </w:r>
      <w:r w:rsidR="00A616B9" w:rsidRPr="00957C54">
        <w:rPr>
          <w:sz w:val="22"/>
          <w:szCs w:val="22"/>
          <w:lang w:val="de-DE"/>
        </w:rPr>
        <w:t> </w:t>
      </w:r>
      <w:r w:rsidRPr="00957C54">
        <w:rPr>
          <w:sz w:val="22"/>
          <w:szCs w:val="22"/>
          <w:lang w:val="de-DE"/>
        </w:rPr>
        <w:t xml:space="preserve">UrhG zurückgegriffen, d.h. </w:t>
      </w:r>
      <w:r w:rsidR="00A616B9" w:rsidRPr="00957C54">
        <w:rPr>
          <w:sz w:val="22"/>
          <w:szCs w:val="22"/>
          <w:lang w:val="de-DE"/>
        </w:rPr>
        <w:t xml:space="preserve">Verbreitung meint </w:t>
      </w:r>
      <w:r w:rsidRPr="00957C54">
        <w:rPr>
          <w:sz w:val="22"/>
          <w:szCs w:val="22"/>
          <w:lang w:val="de-DE"/>
        </w:rPr>
        <w:t>eine Verwertung des Werkes in körperlicher Form</w:t>
      </w:r>
      <w:r w:rsidR="00954F7A" w:rsidRPr="00957C54">
        <w:rPr>
          <w:sz w:val="22"/>
          <w:szCs w:val="22"/>
          <w:lang w:val="de-DE"/>
        </w:rPr>
        <w:t xml:space="preserve"> (z.B. CD oder USB-Stick). J</w:t>
      </w:r>
      <w:r w:rsidRPr="00957C54">
        <w:rPr>
          <w:sz w:val="22"/>
          <w:szCs w:val="22"/>
          <w:lang w:val="de-DE"/>
        </w:rPr>
        <w:t xml:space="preserve">edoch </w:t>
      </w:r>
      <w:r w:rsidR="002A50B5" w:rsidRPr="00957C54">
        <w:rPr>
          <w:sz w:val="22"/>
          <w:szCs w:val="22"/>
          <w:lang w:val="de-DE"/>
        </w:rPr>
        <w:t xml:space="preserve">fällt </w:t>
      </w:r>
      <w:r w:rsidRPr="00957C54">
        <w:rPr>
          <w:sz w:val="22"/>
          <w:szCs w:val="22"/>
          <w:lang w:val="de-DE"/>
        </w:rPr>
        <w:t xml:space="preserve">bereits das öffentliche </w:t>
      </w:r>
      <w:r w:rsidR="00A616B9" w:rsidRPr="00957C54">
        <w:rPr>
          <w:sz w:val="22"/>
          <w:szCs w:val="22"/>
          <w:lang w:val="de-DE"/>
        </w:rPr>
        <w:t xml:space="preserve">Anpreisen </w:t>
      </w:r>
      <w:r w:rsidRPr="00957C54">
        <w:rPr>
          <w:sz w:val="22"/>
          <w:szCs w:val="22"/>
          <w:lang w:val="de-DE"/>
        </w:rPr>
        <w:t>(</w:t>
      </w:r>
      <w:proofErr w:type="spellStart"/>
      <w:r w:rsidRPr="00957C54">
        <w:rPr>
          <w:sz w:val="22"/>
          <w:szCs w:val="22"/>
          <w:lang w:val="de-DE"/>
        </w:rPr>
        <w:t>invitatio</w:t>
      </w:r>
      <w:proofErr w:type="spellEnd"/>
      <w:r w:rsidRPr="00957C54">
        <w:rPr>
          <w:sz w:val="22"/>
          <w:szCs w:val="22"/>
          <w:lang w:val="de-DE"/>
        </w:rPr>
        <w:t xml:space="preserve"> ad </w:t>
      </w:r>
      <w:proofErr w:type="spellStart"/>
      <w:r w:rsidRPr="00957C54">
        <w:rPr>
          <w:sz w:val="22"/>
          <w:szCs w:val="22"/>
          <w:lang w:val="de-DE"/>
        </w:rPr>
        <w:t>offerendum</w:t>
      </w:r>
      <w:proofErr w:type="spellEnd"/>
      <w:r w:rsidRPr="00957C54">
        <w:rPr>
          <w:sz w:val="22"/>
          <w:szCs w:val="22"/>
          <w:lang w:val="de-DE"/>
        </w:rPr>
        <w:t xml:space="preserve">) als Teilakt des </w:t>
      </w:r>
      <w:proofErr w:type="spellStart"/>
      <w:r w:rsidRPr="00957C54">
        <w:rPr>
          <w:sz w:val="22"/>
          <w:szCs w:val="22"/>
          <w:lang w:val="de-DE"/>
        </w:rPr>
        <w:t>Inverkehrsbringens</w:t>
      </w:r>
      <w:proofErr w:type="spellEnd"/>
      <w:r w:rsidRPr="00957C54">
        <w:rPr>
          <w:sz w:val="22"/>
          <w:szCs w:val="22"/>
          <w:lang w:val="de-DE"/>
        </w:rPr>
        <w:t xml:space="preserve"> unter diesen Tatbestand. Inverkehrbringen liegt vor, wenn der Inhaber das Werk außerhalb seiner internen Sphäre stehenden Dritten überlässt. Das Verbreitungsrecht ist nach zulässiger Erstveröffentlichung erschöpft (</w:t>
      </w:r>
      <w:r w:rsidRPr="00957C54">
        <w:rPr>
          <w:sz w:val="22"/>
          <w:szCs w:val="22"/>
          <w:u w:val="single"/>
          <w:lang w:val="de-DE"/>
        </w:rPr>
        <w:t>Erschöpfungsgrundsatz</w:t>
      </w:r>
      <w:r w:rsidRPr="00957C54">
        <w:rPr>
          <w:sz w:val="22"/>
          <w:szCs w:val="22"/>
          <w:lang w:val="de-DE"/>
        </w:rPr>
        <w:t>, §</w:t>
      </w:r>
      <w:r w:rsidR="00A616B9" w:rsidRPr="00957C54">
        <w:rPr>
          <w:sz w:val="22"/>
          <w:szCs w:val="22"/>
          <w:lang w:val="de-DE"/>
        </w:rPr>
        <w:t> </w:t>
      </w:r>
      <w:r w:rsidRPr="00957C54">
        <w:rPr>
          <w:sz w:val="22"/>
          <w:szCs w:val="22"/>
          <w:lang w:val="de-DE"/>
        </w:rPr>
        <w:t>69c</w:t>
      </w:r>
      <w:r w:rsidR="00A616B9" w:rsidRPr="00957C54">
        <w:rPr>
          <w:sz w:val="22"/>
          <w:szCs w:val="22"/>
          <w:lang w:val="de-DE"/>
        </w:rPr>
        <w:t> </w:t>
      </w:r>
      <w:r w:rsidRPr="00957C54">
        <w:rPr>
          <w:sz w:val="22"/>
          <w:szCs w:val="22"/>
          <w:lang w:val="de-DE"/>
        </w:rPr>
        <w:t>Abs.</w:t>
      </w:r>
      <w:r w:rsidR="00A616B9" w:rsidRPr="00957C54">
        <w:rPr>
          <w:sz w:val="22"/>
          <w:szCs w:val="22"/>
          <w:lang w:val="de-DE"/>
        </w:rPr>
        <w:t> </w:t>
      </w:r>
      <w:r w:rsidRPr="00957C54">
        <w:rPr>
          <w:sz w:val="22"/>
          <w:szCs w:val="22"/>
          <w:lang w:val="de-DE"/>
        </w:rPr>
        <w:t>3</w:t>
      </w:r>
      <w:r w:rsidR="00A616B9" w:rsidRPr="00957C54">
        <w:rPr>
          <w:sz w:val="22"/>
          <w:szCs w:val="22"/>
          <w:lang w:val="de-DE"/>
        </w:rPr>
        <w:t> </w:t>
      </w:r>
      <w:r w:rsidRPr="00957C54">
        <w:rPr>
          <w:sz w:val="22"/>
          <w:szCs w:val="22"/>
          <w:lang w:val="de-DE"/>
        </w:rPr>
        <w:t>S.</w:t>
      </w:r>
      <w:r w:rsidR="00A616B9" w:rsidRPr="00957C54">
        <w:rPr>
          <w:sz w:val="22"/>
          <w:szCs w:val="22"/>
          <w:lang w:val="de-DE"/>
        </w:rPr>
        <w:t> </w:t>
      </w:r>
      <w:r w:rsidRPr="00957C54">
        <w:rPr>
          <w:sz w:val="22"/>
          <w:szCs w:val="22"/>
          <w:lang w:val="de-DE"/>
        </w:rPr>
        <w:t>2</w:t>
      </w:r>
      <w:r w:rsidR="00A616B9" w:rsidRPr="00957C54">
        <w:rPr>
          <w:sz w:val="22"/>
          <w:szCs w:val="22"/>
          <w:lang w:val="de-DE"/>
        </w:rPr>
        <w:t> </w:t>
      </w:r>
      <w:r w:rsidRPr="00957C54">
        <w:rPr>
          <w:sz w:val="22"/>
          <w:szCs w:val="22"/>
          <w:lang w:val="de-DE"/>
        </w:rPr>
        <w:t xml:space="preserve">UrhG). Dies gilt jedoch nicht </w:t>
      </w:r>
      <w:r w:rsidR="00EF46FA" w:rsidRPr="00957C54">
        <w:rPr>
          <w:sz w:val="22"/>
          <w:szCs w:val="22"/>
          <w:lang w:val="de-DE"/>
        </w:rPr>
        <w:t>im Fall einer</w:t>
      </w:r>
      <w:r w:rsidRPr="00957C54">
        <w:rPr>
          <w:sz w:val="22"/>
          <w:szCs w:val="22"/>
          <w:lang w:val="de-DE"/>
        </w:rPr>
        <w:t xml:space="preserve"> Vermietung. Nach </w:t>
      </w:r>
      <w:proofErr w:type="spellStart"/>
      <w:r w:rsidRPr="00957C54">
        <w:rPr>
          <w:sz w:val="22"/>
          <w:szCs w:val="22"/>
          <w:lang w:val="de-DE"/>
        </w:rPr>
        <w:t>h.M</w:t>
      </w:r>
      <w:proofErr w:type="spellEnd"/>
      <w:r w:rsidRPr="00957C54">
        <w:rPr>
          <w:sz w:val="22"/>
          <w:szCs w:val="22"/>
          <w:lang w:val="de-DE"/>
        </w:rPr>
        <w:t>. fällt das Verbreiten in unkörperlicher Form, also via Internet, nicht unter den Tatbestand</w:t>
      </w:r>
      <w:r w:rsidR="0077049B" w:rsidRPr="00957C54">
        <w:rPr>
          <w:sz w:val="22"/>
          <w:szCs w:val="22"/>
          <w:lang w:val="de-DE"/>
        </w:rPr>
        <w:t xml:space="preserve"> der Verbreitung</w:t>
      </w:r>
      <w:r w:rsidRPr="00957C54">
        <w:rPr>
          <w:sz w:val="22"/>
          <w:szCs w:val="22"/>
          <w:lang w:val="de-DE"/>
        </w:rPr>
        <w:t>. Die Systematik des § 15 UrhG werde sonst durchbrochen. Stattdessen wird hier</w:t>
      </w:r>
      <w:r w:rsidR="00EF46FA" w:rsidRPr="00957C54">
        <w:rPr>
          <w:sz w:val="22"/>
          <w:szCs w:val="22"/>
          <w:lang w:val="de-DE"/>
        </w:rPr>
        <w:t>in</w:t>
      </w:r>
      <w:r w:rsidRPr="00957C54">
        <w:rPr>
          <w:sz w:val="22"/>
          <w:szCs w:val="22"/>
          <w:lang w:val="de-DE"/>
        </w:rPr>
        <w:t xml:space="preserve"> ein Fall des § 15 Abs. 2 UrhG gesehen</w:t>
      </w:r>
      <w:r w:rsidR="00C758D4" w:rsidRPr="00957C54">
        <w:rPr>
          <w:sz w:val="22"/>
          <w:szCs w:val="22"/>
          <w:lang w:val="de-DE"/>
        </w:rPr>
        <w:t>.</w:t>
      </w:r>
      <w:r w:rsidRPr="00957C54">
        <w:rPr>
          <w:sz w:val="22"/>
          <w:szCs w:val="22"/>
          <w:lang w:val="de-DE"/>
        </w:rPr>
        <w:t xml:space="preserve"> </w:t>
      </w:r>
      <w:r w:rsidR="00C758D4" w:rsidRPr="00957C54">
        <w:rPr>
          <w:sz w:val="22"/>
          <w:szCs w:val="22"/>
          <w:lang w:val="de-DE"/>
        </w:rPr>
        <w:t>T</w:t>
      </w:r>
      <w:r w:rsidR="0077049B" w:rsidRPr="00957C54">
        <w:rPr>
          <w:sz w:val="22"/>
          <w:szCs w:val="22"/>
          <w:lang w:val="de-DE"/>
        </w:rPr>
        <w:t xml:space="preserve">rotzdem soll nach dem Grundsatzurteil </w:t>
      </w:r>
      <w:proofErr w:type="gramStart"/>
      <w:r w:rsidR="0077049B" w:rsidRPr="00957C54">
        <w:rPr>
          <w:sz w:val="22"/>
          <w:szCs w:val="22"/>
          <w:lang w:val="de-DE"/>
        </w:rPr>
        <w:t>des EuGH</w:t>
      </w:r>
      <w:proofErr w:type="gramEnd"/>
      <w:r w:rsidR="0077049B" w:rsidRPr="00957C54">
        <w:rPr>
          <w:sz w:val="22"/>
          <w:szCs w:val="22"/>
          <w:lang w:val="de-DE"/>
        </w:rPr>
        <w:t xml:space="preserve"> in Sachen </w:t>
      </w:r>
      <w:proofErr w:type="spellStart"/>
      <w:r w:rsidR="0077049B" w:rsidRPr="00957C54">
        <w:rPr>
          <w:sz w:val="22"/>
          <w:szCs w:val="22"/>
          <w:lang w:val="de-DE"/>
        </w:rPr>
        <w:t>UsedSoft</w:t>
      </w:r>
      <w:proofErr w:type="spellEnd"/>
      <w:r w:rsidR="0077049B" w:rsidRPr="00957C54">
        <w:rPr>
          <w:sz w:val="22"/>
          <w:szCs w:val="22"/>
          <w:lang w:val="de-DE"/>
        </w:rPr>
        <w:t xml:space="preserve"> (</w:t>
      </w:r>
      <w:r w:rsidR="0077049B" w:rsidRPr="00957C54">
        <w:rPr>
          <w:rStyle w:val="etyp"/>
          <w:sz w:val="22"/>
          <w:szCs w:val="22"/>
          <w:lang w:val="de-DE"/>
        </w:rPr>
        <w:t>Urt.</w:t>
      </w:r>
      <w:r w:rsidR="0077049B" w:rsidRPr="00957C54">
        <w:rPr>
          <w:sz w:val="22"/>
          <w:szCs w:val="22"/>
          <w:lang w:val="de-DE"/>
        </w:rPr>
        <w:t xml:space="preserve"> v. </w:t>
      </w:r>
      <w:r w:rsidR="0077049B" w:rsidRPr="00957C54">
        <w:rPr>
          <w:rStyle w:val="datum"/>
          <w:sz w:val="22"/>
          <w:szCs w:val="22"/>
          <w:lang w:val="de-DE"/>
        </w:rPr>
        <w:t>3. 7. 2012</w:t>
      </w:r>
      <w:r w:rsidR="0077049B" w:rsidRPr="00957C54">
        <w:rPr>
          <w:sz w:val="22"/>
          <w:szCs w:val="22"/>
          <w:lang w:val="de-DE"/>
        </w:rPr>
        <w:t xml:space="preserve"> − </w:t>
      </w:r>
      <w:r w:rsidR="0077049B" w:rsidRPr="00957C54">
        <w:rPr>
          <w:rStyle w:val="az"/>
          <w:sz w:val="22"/>
          <w:szCs w:val="22"/>
          <w:lang w:val="de-DE"/>
        </w:rPr>
        <w:t>C-128/11, NJW 2012, 2565)</w:t>
      </w:r>
      <w:r w:rsidR="0077049B" w:rsidRPr="00957C54">
        <w:rPr>
          <w:sz w:val="22"/>
          <w:szCs w:val="22"/>
          <w:lang w:val="de-DE"/>
        </w:rPr>
        <w:t xml:space="preserve"> </w:t>
      </w:r>
      <w:r w:rsidRPr="00957C54">
        <w:rPr>
          <w:sz w:val="22"/>
          <w:szCs w:val="22"/>
          <w:lang w:val="de-DE"/>
        </w:rPr>
        <w:t xml:space="preserve">der Erschöpfungsgrundsatz gem. </w:t>
      </w:r>
      <w:r w:rsidR="00EF46FA" w:rsidRPr="00957C54">
        <w:rPr>
          <w:sz w:val="22"/>
          <w:szCs w:val="22"/>
          <w:lang w:val="de-DE"/>
        </w:rPr>
        <w:t>§</w:t>
      </w:r>
      <w:r w:rsidRPr="00957C54">
        <w:rPr>
          <w:sz w:val="22"/>
          <w:szCs w:val="22"/>
          <w:lang w:val="de-DE"/>
        </w:rPr>
        <w:t>§ 17 Abs. 2, 69c Nr.</w:t>
      </w:r>
      <w:r w:rsidR="002A50B5" w:rsidRPr="00957C54">
        <w:rPr>
          <w:sz w:val="22"/>
          <w:szCs w:val="22"/>
          <w:lang w:val="de-DE"/>
        </w:rPr>
        <w:t xml:space="preserve"> </w:t>
      </w:r>
      <w:r w:rsidRPr="00957C54">
        <w:rPr>
          <w:sz w:val="22"/>
          <w:szCs w:val="22"/>
          <w:lang w:val="de-DE"/>
        </w:rPr>
        <w:t>3 S.</w:t>
      </w:r>
      <w:r w:rsidR="002A50B5" w:rsidRPr="00957C54">
        <w:rPr>
          <w:sz w:val="22"/>
          <w:szCs w:val="22"/>
          <w:lang w:val="de-DE"/>
        </w:rPr>
        <w:t xml:space="preserve"> </w:t>
      </w:r>
      <w:r w:rsidRPr="00957C54">
        <w:rPr>
          <w:sz w:val="22"/>
          <w:szCs w:val="22"/>
          <w:lang w:val="de-DE"/>
        </w:rPr>
        <w:t xml:space="preserve">2 UrhG entsprechend anzuwenden </w:t>
      </w:r>
      <w:r w:rsidR="0077049B" w:rsidRPr="00957C54">
        <w:rPr>
          <w:sz w:val="22"/>
          <w:szCs w:val="22"/>
          <w:lang w:val="de-DE"/>
        </w:rPr>
        <w:t>sein</w:t>
      </w:r>
      <w:r w:rsidRPr="00957C54">
        <w:rPr>
          <w:sz w:val="22"/>
          <w:szCs w:val="22"/>
          <w:lang w:val="de-DE"/>
        </w:rPr>
        <w:t xml:space="preserve"> (</w:t>
      </w:r>
      <w:r w:rsidR="0077049B" w:rsidRPr="00957C54">
        <w:rPr>
          <w:sz w:val="22"/>
          <w:szCs w:val="22"/>
          <w:lang w:val="de-DE"/>
        </w:rPr>
        <w:t>für andere digitale Güter außerhalb von Software</w:t>
      </w:r>
      <w:r w:rsidR="002A50B5" w:rsidRPr="00957C54">
        <w:rPr>
          <w:sz w:val="22"/>
          <w:szCs w:val="22"/>
          <w:lang w:val="de-DE"/>
        </w:rPr>
        <w:t xml:space="preserve"> </w:t>
      </w:r>
      <w:proofErr w:type="spellStart"/>
      <w:r w:rsidRPr="00957C54">
        <w:rPr>
          <w:sz w:val="22"/>
          <w:szCs w:val="22"/>
          <w:lang w:val="de-DE"/>
        </w:rPr>
        <w:t>str.</w:t>
      </w:r>
      <w:proofErr w:type="spellEnd"/>
      <w:r w:rsidRPr="00957C54">
        <w:rPr>
          <w:sz w:val="22"/>
          <w:szCs w:val="22"/>
          <w:lang w:val="de-DE"/>
        </w:rPr>
        <w:t xml:space="preserve">). </w:t>
      </w:r>
    </w:p>
    <w:p w:rsidR="000D369C" w:rsidRPr="00957C54" w:rsidRDefault="000D369C" w:rsidP="000D369C">
      <w:pPr>
        <w:jc w:val="both"/>
        <w:rPr>
          <w:sz w:val="22"/>
          <w:szCs w:val="22"/>
          <w:lang w:val="de-DE"/>
        </w:rPr>
      </w:pPr>
    </w:p>
    <w:p w:rsidR="000D369C" w:rsidRPr="00957C54" w:rsidRDefault="000D369C" w:rsidP="005531F7">
      <w:pPr>
        <w:pStyle w:val="Listenabsatz"/>
        <w:widowControl/>
        <w:numPr>
          <w:ilvl w:val="0"/>
          <w:numId w:val="2"/>
        </w:numPr>
        <w:autoSpaceDE/>
        <w:autoSpaceDN/>
        <w:adjustRightInd/>
        <w:jc w:val="both"/>
        <w:rPr>
          <w:sz w:val="22"/>
          <w:szCs w:val="22"/>
          <w:lang w:val="de-DE"/>
        </w:rPr>
      </w:pPr>
      <w:r w:rsidRPr="00957C54">
        <w:rPr>
          <w:sz w:val="22"/>
          <w:szCs w:val="22"/>
          <w:lang w:val="de-DE"/>
        </w:rPr>
        <w:t xml:space="preserve">§ 69c Nr. 4 UrhG </w:t>
      </w:r>
      <w:r w:rsidR="00C758D4" w:rsidRPr="00957C54">
        <w:rPr>
          <w:sz w:val="22"/>
          <w:szCs w:val="22"/>
          <w:lang w:val="de-DE"/>
        </w:rPr>
        <w:t xml:space="preserve">enthält </w:t>
      </w:r>
      <w:r w:rsidRPr="00957C54">
        <w:rPr>
          <w:sz w:val="22"/>
          <w:szCs w:val="22"/>
          <w:lang w:val="de-DE"/>
        </w:rPr>
        <w:t xml:space="preserve">ein </w:t>
      </w:r>
      <w:r w:rsidRPr="00957C54">
        <w:rPr>
          <w:sz w:val="22"/>
          <w:szCs w:val="22"/>
          <w:u w:val="single"/>
          <w:lang w:val="de-DE"/>
        </w:rPr>
        <w:t>Verwertungsrecht der öffentlichen Zugänglichmachung</w:t>
      </w:r>
      <w:r w:rsidRPr="00957C54">
        <w:rPr>
          <w:sz w:val="22"/>
          <w:szCs w:val="22"/>
          <w:lang w:val="de-DE"/>
        </w:rPr>
        <w:t xml:space="preserve"> von Computerprogrammen, was vor allem bei </w:t>
      </w:r>
      <w:r w:rsidR="00EF46FA" w:rsidRPr="00957C54">
        <w:rPr>
          <w:sz w:val="22"/>
          <w:szCs w:val="22"/>
          <w:lang w:val="de-DE"/>
        </w:rPr>
        <w:t xml:space="preserve">Übermittlung durch das </w:t>
      </w:r>
      <w:r w:rsidRPr="00957C54">
        <w:rPr>
          <w:sz w:val="22"/>
          <w:szCs w:val="22"/>
          <w:lang w:val="de-DE"/>
        </w:rPr>
        <w:t xml:space="preserve">Internet relevant ist. Die Voraussetzungen gleichen denen des § 19a UrhG. </w:t>
      </w:r>
    </w:p>
    <w:p w:rsidR="000D369C" w:rsidRPr="00957C54" w:rsidRDefault="000D369C" w:rsidP="000D369C">
      <w:pPr>
        <w:jc w:val="both"/>
        <w:rPr>
          <w:sz w:val="22"/>
          <w:szCs w:val="22"/>
          <w:lang w:val="de-DE"/>
        </w:rPr>
      </w:pPr>
    </w:p>
    <w:p w:rsidR="000D369C" w:rsidRPr="00957C54" w:rsidRDefault="000D369C" w:rsidP="005531F7">
      <w:pPr>
        <w:pStyle w:val="Listenabsatz"/>
        <w:widowControl/>
        <w:numPr>
          <w:ilvl w:val="0"/>
          <w:numId w:val="2"/>
        </w:numPr>
        <w:autoSpaceDE/>
        <w:autoSpaceDN/>
        <w:adjustRightInd/>
        <w:jc w:val="both"/>
        <w:rPr>
          <w:sz w:val="22"/>
          <w:szCs w:val="22"/>
          <w:lang w:val="de-DE"/>
        </w:rPr>
      </w:pPr>
      <w:r w:rsidRPr="00957C54">
        <w:rPr>
          <w:sz w:val="22"/>
          <w:szCs w:val="22"/>
          <w:lang w:val="de-DE"/>
        </w:rPr>
        <w:t xml:space="preserve">Die </w:t>
      </w:r>
      <w:r w:rsidRPr="00957C54">
        <w:rPr>
          <w:sz w:val="22"/>
          <w:szCs w:val="22"/>
          <w:u w:val="single"/>
          <w:lang w:val="de-DE"/>
        </w:rPr>
        <w:t xml:space="preserve">§§ 69d und </w:t>
      </w:r>
      <w:r w:rsidR="002A50B5" w:rsidRPr="00957C54">
        <w:rPr>
          <w:sz w:val="22"/>
          <w:szCs w:val="22"/>
          <w:u w:val="single"/>
          <w:lang w:val="de-DE"/>
        </w:rPr>
        <w:t>69</w:t>
      </w:r>
      <w:r w:rsidRPr="00957C54">
        <w:rPr>
          <w:sz w:val="22"/>
          <w:szCs w:val="22"/>
          <w:u w:val="single"/>
          <w:lang w:val="de-DE"/>
        </w:rPr>
        <w:t>e UrhG</w:t>
      </w:r>
      <w:r w:rsidRPr="00957C54">
        <w:rPr>
          <w:sz w:val="22"/>
          <w:szCs w:val="22"/>
          <w:lang w:val="de-DE"/>
        </w:rPr>
        <w:t xml:space="preserve"> bilden Ausnahmen zu den Regelungen des § 69c UrhG und geben dem Nutzer gewisse </w:t>
      </w:r>
      <w:r w:rsidRPr="00957C54">
        <w:rPr>
          <w:sz w:val="22"/>
          <w:szCs w:val="22"/>
          <w:u w:val="single"/>
          <w:lang w:val="de-DE"/>
        </w:rPr>
        <w:t>Vervielfältigungs- und Umarbeitungsrechte</w:t>
      </w:r>
      <w:r w:rsidRPr="00957C54">
        <w:rPr>
          <w:sz w:val="22"/>
          <w:szCs w:val="22"/>
          <w:lang w:val="de-DE"/>
        </w:rPr>
        <w:t>.</w:t>
      </w:r>
    </w:p>
    <w:p w:rsidR="00532BEC" w:rsidRPr="00957C54" w:rsidRDefault="00532BEC" w:rsidP="000D369C">
      <w:pPr>
        <w:widowControl/>
        <w:autoSpaceDE/>
        <w:autoSpaceDN/>
        <w:adjustRightInd/>
        <w:jc w:val="both"/>
        <w:rPr>
          <w:sz w:val="22"/>
          <w:szCs w:val="22"/>
          <w:lang w:val="de-DE"/>
        </w:rPr>
      </w:pPr>
    </w:p>
    <w:p w:rsidR="000D369C" w:rsidRPr="00957C54" w:rsidRDefault="000D369C" w:rsidP="005531F7">
      <w:pPr>
        <w:pStyle w:val="Listenabsatz"/>
        <w:widowControl/>
        <w:numPr>
          <w:ilvl w:val="0"/>
          <w:numId w:val="3"/>
        </w:numPr>
        <w:autoSpaceDE/>
        <w:autoSpaceDN/>
        <w:adjustRightInd/>
        <w:jc w:val="both"/>
        <w:rPr>
          <w:sz w:val="22"/>
          <w:szCs w:val="22"/>
          <w:lang w:val="de-DE"/>
        </w:rPr>
      </w:pPr>
      <w:r w:rsidRPr="00957C54">
        <w:rPr>
          <w:sz w:val="22"/>
          <w:szCs w:val="22"/>
          <w:lang w:val="de-DE"/>
        </w:rPr>
        <w:t>Gem. § 69d Nr.</w:t>
      </w:r>
      <w:r w:rsidR="002A50B5" w:rsidRPr="00957C54">
        <w:rPr>
          <w:sz w:val="22"/>
          <w:szCs w:val="22"/>
          <w:lang w:val="de-DE"/>
        </w:rPr>
        <w:t xml:space="preserve"> </w:t>
      </w:r>
      <w:r w:rsidRPr="00957C54">
        <w:rPr>
          <w:sz w:val="22"/>
          <w:szCs w:val="22"/>
          <w:lang w:val="de-DE"/>
        </w:rPr>
        <w:t xml:space="preserve">1 und 2 UrhG hat der Rechtsinhaber die </w:t>
      </w:r>
      <w:r w:rsidRPr="00957C54">
        <w:rPr>
          <w:sz w:val="22"/>
          <w:szCs w:val="22"/>
          <w:u w:val="single"/>
          <w:lang w:val="de-DE"/>
        </w:rPr>
        <w:t>bestimmungsgemäße Nutzung,</w:t>
      </w:r>
      <w:r w:rsidRPr="00957C54">
        <w:rPr>
          <w:sz w:val="22"/>
          <w:szCs w:val="22"/>
          <w:lang w:val="de-DE"/>
        </w:rPr>
        <w:t xml:space="preserve"> also die Nutzung </w:t>
      </w:r>
      <w:r w:rsidR="00EF46FA" w:rsidRPr="00957C54">
        <w:rPr>
          <w:sz w:val="22"/>
          <w:szCs w:val="22"/>
          <w:lang w:val="de-DE"/>
        </w:rPr>
        <w:t>im Einklang mit</w:t>
      </w:r>
      <w:r w:rsidRPr="00957C54">
        <w:rPr>
          <w:sz w:val="22"/>
          <w:szCs w:val="22"/>
          <w:lang w:val="de-DE"/>
        </w:rPr>
        <w:t xml:space="preserve"> dem Überlassungszweck, und die </w:t>
      </w:r>
      <w:r w:rsidRPr="00957C54">
        <w:rPr>
          <w:sz w:val="22"/>
          <w:szCs w:val="22"/>
          <w:u w:val="single"/>
          <w:lang w:val="de-DE"/>
        </w:rPr>
        <w:t>Fehlerberichtigung</w:t>
      </w:r>
      <w:r w:rsidRPr="00957C54">
        <w:rPr>
          <w:sz w:val="22"/>
          <w:szCs w:val="22"/>
          <w:lang w:val="de-DE"/>
        </w:rPr>
        <w:t>, z.B. durch Programmbearbeitung</w:t>
      </w:r>
      <w:r w:rsidR="002A50B5" w:rsidRPr="00957C54">
        <w:rPr>
          <w:sz w:val="22"/>
          <w:szCs w:val="22"/>
          <w:lang w:val="de-DE"/>
        </w:rPr>
        <w:t>,</w:t>
      </w:r>
      <w:r w:rsidRPr="00957C54">
        <w:rPr>
          <w:sz w:val="22"/>
          <w:szCs w:val="22"/>
          <w:lang w:val="de-DE"/>
        </w:rPr>
        <w:t xml:space="preserve"> hinzunehmen. Zu</w:t>
      </w:r>
      <w:r w:rsidR="002A50B5" w:rsidRPr="00957C54">
        <w:rPr>
          <w:sz w:val="22"/>
          <w:szCs w:val="22"/>
          <w:lang w:val="de-DE"/>
        </w:rPr>
        <w:t>r</w:t>
      </w:r>
      <w:r w:rsidRPr="00957C54">
        <w:rPr>
          <w:sz w:val="22"/>
          <w:szCs w:val="22"/>
          <w:lang w:val="de-DE"/>
        </w:rPr>
        <w:t xml:space="preserve"> bestimmungsgemäßen Nutzung gehört auch das Anfertigen von Sicherungskopien. Bei der Angemessenheit von formularmäßigen Vertragsklauseln ist zwischen Lizenzverträgen und einfachen Verkaufsverträgen zu unterscheiden. Bei Lizenzverträgen sind diese Klauseln </w:t>
      </w:r>
      <w:proofErr w:type="spellStart"/>
      <w:r w:rsidRPr="00957C54">
        <w:rPr>
          <w:sz w:val="22"/>
          <w:szCs w:val="22"/>
          <w:lang w:val="de-DE"/>
        </w:rPr>
        <w:t>grds</w:t>
      </w:r>
      <w:proofErr w:type="spellEnd"/>
      <w:r w:rsidRPr="00957C54">
        <w:rPr>
          <w:sz w:val="22"/>
          <w:szCs w:val="22"/>
          <w:lang w:val="de-DE"/>
        </w:rPr>
        <w:t xml:space="preserve">. angemessen, solange der Verwender in der Lage bleibt, seine Hardware zu erneuern. </w:t>
      </w:r>
    </w:p>
    <w:p w:rsidR="000D369C" w:rsidRPr="00957C54" w:rsidRDefault="000D369C" w:rsidP="000D369C">
      <w:pPr>
        <w:ind w:left="720"/>
        <w:jc w:val="both"/>
        <w:rPr>
          <w:sz w:val="22"/>
          <w:szCs w:val="22"/>
          <w:lang w:val="de-DE"/>
        </w:rPr>
      </w:pPr>
    </w:p>
    <w:p w:rsidR="000D369C" w:rsidRPr="00957C54" w:rsidRDefault="000D369C" w:rsidP="005531F7">
      <w:pPr>
        <w:pStyle w:val="Listenabsatz"/>
        <w:widowControl/>
        <w:numPr>
          <w:ilvl w:val="0"/>
          <w:numId w:val="3"/>
        </w:numPr>
        <w:autoSpaceDE/>
        <w:autoSpaceDN/>
        <w:adjustRightInd/>
        <w:jc w:val="both"/>
        <w:rPr>
          <w:sz w:val="22"/>
          <w:szCs w:val="22"/>
          <w:lang w:val="de-DE"/>
        </w:rPr>
      </w:pPr>
      <w:r w:rsidRPr="00957C54">
        <w:rPr>
          <w:sz w:val="22"/>
          <w:szCs w:val="22"/>
          <w:lang w:val="de-DE"/>
        </w:rPr>
        <w:t>Gem. § 69d Abs.</w:t>
      </w:r>
      <w:r w:rsidR="00532BEC" w:rsidRPr="00957C54">
        <w:rPr>
          <w:sz w:val="22"/>
          <w:szCs w:val="22"/>
          <w:lang w:val="de-DE"/>
        </w:rPr>
        <w:t xml:space="preserve"> </w:t>
      </w:r>
      <w:r w:rsidRPr="00957C54">
        <w:rPr>
          <w:sz w:val="22"/>
          <w:szCs w:val="22"/>
          <w:lang w:val="de-DE"/>
        </w:rPr>
        <w:t xml:space="preserve">3 UrhG ist das </w:t>
      </w:r>
      <w:r w:rsidRPr="00957C54">
        <w:rPr>
          <w:sz w:val="22"/>
          <w:szCs w:val="22"/>
          <w:u w:val="single"/>
          <w:lang w:val="de-DE"/>
        </w:rPr>
        <w:t>Beobachten, Testen und Untersuchen</w:t>
      </w:r>
      <w:r w:rsidRPr="00957C54">
        <w:rPr>
          <w:sz w:val="22"/>
          <w:szCs w:val="22"/>
          <w:lang w:val="de-DE"/>
        </w:rPr>
        <w:t xml:space="preserve"> von Programmen nicht zustimmungsbedürftig.</w:t>
      </w:r>
    </w:p>
    <w:p w:rsidR="000D369C" w:rsidRPr="00957C54" w:rsidRDefault="000D369C" w:rsidP="000D369C">
      <w:pPr>
        <w:jc w:val="both"/>
        <w:rPr>
          <w:sz w:val="22"/>
          <w:szCs w:val="22"/>
          <w:lang w:val="de-DE"/>
        </w:rPr>
      </w:pPr>
    </w:p>
    <w:p w:rsidR="000D369C" w:rsidRPr="00957C54" w:rsidRDefault="000D369C" w:rsidP="005531F7">
      <w:pPr>
        <w:pStyle w:val="Listenabsatz"/>
        <w:widowControl/>
        <w:numPr>
          <w:ilvl w:val="0"/>
          <w:numId w:val="3"/>
        </w:numPr>
        <w:autoSpaceDE/>
        <w:autoSpaceDN/>
        <w:adjustRightInd/>
        <w:jc w:val="both"/>
        <w:rPr>
          <w:sz w:val="22"/>
          <w:szCs w:val="22"/>
          <w:lang w:val="de-DE"/>
        </w:rPr>
      </w:pPr>
      <w:r w:rsidRPr="00957C54">
        <w:rPr>
          <w:sz w:val="22"/>
          <w:szCs w:val="22"/>
          <w:lang w:val="de-DE"/>
        </w:rPr>
        <w:t xml:space="preserve">Gem. § 69e ist die </w:t>
      </w:r>
      <w:proofErr w:type="spellStart"/>
      <w:r w:rsidRPr="00957C54">
        <w:rPr>
          <w:sz w:val="22"/>
          <w:szCs w:val="22"/>
          <w:u w:val="single"/>
          <w:lang w:val="de-DE"/>
        </w:rPr>
        <w:t>Dekompilierung</w:t>
      </w:r>
      <w:proofErr w:type="spellEnd"/>
      <w:r w:rsidRPr="00957C54">
        <w:rPr>
          <w:sz w:val="22"/>
          <w:szCs w:val="22"/>
          <w:lang w:val="de-DE"/>
        </w:rPr>
        <w:t>, d.h. die Rückübersetzung von maschinenlesbaren Codes in eine für Menschen lesbare Programmsprache</w:t>
      </w:r>
      <w:r w:rsidR="00861BB6" w:rsidRPr="00957C54">
        <w:rPr>
          <w:sz w:val="22"/>
          <w:szCs w:val="22"/>
          <w:lang w:val="de-DE"/>
        </w:rPr>
        <w:t>,</w:t>
      </w:r>
      <w:r w:rsidRPr="00957C54">
        <w:rPr>
          <w:sz w:val="22"/>
          <w:szCs w:val="22"/>
          <w:lang w:val="de-DE"/>
        </w:rPr>
        <w:t xml:space="preserve"> erlaubt. Sinn und Zweck ist die Ermöglichung des Wettbewerbs. </w:t>
      </w:r>
      <w:r w:rsidR="00143689" w:rsidRPr="00957C54">
        <w:rPr>
          <w:sz w:val="22"/>
          <w:szCs w:val="22"/>
          <w:lang w:val="de-DE"/>
        </w:rPr>
        <w:t>Allerdings</w:t>
      </w:r>
      <w:r w:rsidRPr="00957C54">
        <w:rPr>
          <w:sz w:val="22"/>
          <w:szCs w:val="22"/>
          <w:lang w:val="de-DE"/>
        </w:rPr>
        <w:t xml:space="preserve"> ist eine </w:t>
      </w:r>
      <w:proofErr w:type="spellStart"/>
      <w:r w:rsidRPr="00957C54">
        <w:rPr>
          <w:sz w:val="22"/>
          <w:szCs w:val="22"/>
          <w:lang w:val="de-DE"/>
        </w:rPr>
        <w:t>Dekompilierung</w:t>
      </w:r>
      <w:proofErr w:type="spellEnd"/>
      <w:r w:rsidRPr="00957C54">
        <w:rPr>
          <w:sz w:val="22"/>
          <w:szCs w:val="22"/>
          <w:lang w:val="de-DE"/>
        </w:rPr>
        <w:t xml:space="preserve"> </w:t>
      </w:r>
      <w:r w:rsidR="00143689" w:rsidRPr="00957C54">
        <w:rPr>
          <w:sz w:val="22"/>
          <w:szCs w:val="22"/>
          <w:lang w:val="de-DE"/>
        </w:rPr>
        <w:t xml:space="preserve">ausschließlich zu diesem Zweck </w:t>
      </w:r>
      <w:r w:rsidRPr="00957C54">
        <w:rPr>
          <w:sz w:val="22"/>
          <w:szCs w:val="22"/>
          <w:lang w:val="de-DE"/>
        </w:rPr>
        <w:t>erlaubt, d.h. der Entwickler soll die Schnittstelleninformationen erlangen, mit denen die Kompatibilität hergestellt werden soll. Gem. § 69g Abs. 2 UrhG kann diese Bestimmung nicht vertraglich abbedungen werden.</w:t>
      </w:r>
    </w:p>
    <w:p w:rsidR="000D369C" w:rsidRPr="00957C54" w:rsidRDefault="000D369C" w:rsidP="000D369C">
      <w:pPr>
        <w:jc w:val="both"/>
        <w:rPr>
          <w:sz w:val="22"/>
          <w:szCs w:val="22"/>
          <w:lang w:val="de-DE"/>
        </w:rPr>
      </w:pPr>
    </w:p>
    <w:p w:rsidR="000D369C" w:rsidRPr="00957C54" w:rsidRDefault="000D369C" w:rsidP="005531F7">
      <w:pPr>
        <w:pStyle w:val="Listenabsatz"/>
        <w:widowControl/>
        <w:numPr>
          <w:ilvl w:val="0"/>
          <w:numId w:val="2"/>
        </w:numPr>
        <w:autoSpaceDE/>
        <w:autoSpaceDN/>
        <w:adjustRightInd/>
        <w:jc w:val="both"/>
        <w:rPr>
          <w:sz w:val="22"/>
          <w:szCs w:val="22"/>
          <w:lang w:val="de-DE"/>
        </w:rPr>
      </w:pPr>
      <w:r w:rsidRPr="00957C54">
        <w:rPr>
          <w:sz w:val="22"/>
          <w:szCs w:val="22"/>
          <w:lang w:val="de-DE"/>
        </w:rPr>
        <w:t>Die allgemeinen Schrankenbestimmungen der §§ 44a</w:t>
      </w:r>
      <w:r w:rsidR="00861BB6" w:rsidRPr="00957C54">
        <w:rPr>
          <w:sz w:val="22"/>
          <w:szCs w:val="22"/>
          <w:lang w:val="de-DE"/>
        </w:rPr>
        <w:t xml:space="preserve"> </w:t>
      </w:r>
      <w:r w:rsidRPr="00957C54">
        <w:rPr>
          <w:sz w:val="22"/>
          <w:szCs w:val="22"/>
          <w:lang w:val="de-DE"/>
        </w:rPr>
        <w:t>-</w:t>
      </w:r>
      <w:r w:rsidR="00861BB6" w:rsidRPr="00957C54">
        <w:rPr>
          <w:sz w:val="22"/>
          <w:szCs w:val="22"/>
          <w:lang w:val="de-DE"/>
        </w:rPr>
        <w:t xml:space="preserve"> </w:t>
      </w:r>
      <w:r w:rsidRPr="00957C54">
        <w:rPr>
          <w:sz w:val="22"/>
          <w:szCs w:val="22"/>
          <w:lang w:val="de-DE"/>
        </w:rPr>
        <w:t xml:space="preserve">63 UrhG finden neben den Bestimmungen der </w:t>
      </w:r>
      <w:r w:rsidR="00861BB6" w:rsidRPr="00957C54">
        <w:rPr>
          <w:sz w:val="22"/>
          <w:szCs w:val="22"/>
          <w:lang w:val="de-DE"/>
        </w:rPr>
        <w:t>§</w:t>
      </w:r>
      <w:r w:rsidRPr="00957C54">
        <w:rPr>
          <w:sz w:val="22"/>
          <w:szCs w:val="22"/>
          <w:lang w:val="de-DE"/>
        </w:rPr>
        <w:t xml:space="preserve">§ 69a ff. UrhG kaum Anwendung. Ausnahme ist </w:t>
      </w:r>
      <w:r w:rsidRPr="00957C54">
        <w:rPr>
          <w:sz w:val="22"/>
          <w:szCs w:val="22"/>
          <w:u w:val="single"/>
          <w:lang w:val="de-DE"/>
        </w:rPr>
        <w:t>§ 45 UrhG</w:t>
      </w:r>
      <w:r w:rsidRPr="00957C54">
        <w:rPr>
          <w:sz w:val="22"/>
          <w:szCs w:val="22"/>
          <w:lang w:val="de-DE"/>
        </w:rPr>
        <w:t xml:space="preserve">, der </w:t>
      </w:r>
      <w:r w:rsidRPr="00957C54">
        <w:rPr>
          <w:sz w:val="22"/>
          <w:szCs w:val="22"/>
          <w:u w:val="single"/>
          <w:lang w:val="de-DE"/>
        </w:rPr>
        <w:t>entsprechend</w:t>
      </w:r>
      <w:r w:rsidRPr="00957C54">
        <w:rPr>
          <w:sz w:val="22"/>
          <w:szCs w:val="22"/>
          <w:lang w:val="de-DE"/>
        </w:rPr>
        <w:t xml:space="preserve"> angewandt wird. </w:t>
      </w:r>
    </w:p>
    <w:p w:rsidR="00B4096E" w:rsidRPr="00957C54" w:rsidRDefault="00B4096E">
      <w:pPr>
        <w:rPr>
          <w:sz w:val="22"/>
          <w:szCs w:val="22"/>
          <w:lang w:val="de-DE"/>
        </w:rPr>
      </w:pPr>
    </w:p>
    <w:p w:rsidR="00457735" w:rsidRPr="00957C54" w:rsidRDefault="007842E6" w:rsidP="005531F7">
      <w:pPr>
        <w:pStyle w:val="Listenabsatz"/>
        <w:numPr>
          <w:ilvl w:val="0"/>
          <w:numId w:val="1"/>
        </w:numPr>
        <w:rPr>
          <w:b/>
          <w:sz w:val="22"/>
          <w:szCs w:val="22"/>
          <w:lang w:val="de-DE"/>
        </w:rPr>
      </w:pPr>
      <w:r w:rsidRPr="00957C54">
        <w:rPr>
          <w:b/>
          <w:sz w:val="22"/>
          <w:szCs w:val="22"/>
          <w:lang w:val="de-DE"/>
        </w:rPr>
        <w:t>Fälle</w:t>
      </w:r>
      <w:r w:rsidR="008C3487" w:rsidRPr="00957C54">
        <w:rPr>
          <w:b/>
          <w:sz w:val="22"/>
          <w:szCs w:val="22"/>
          <w:lang w:val="de-DE"/>
        </w:rPr>
        <w:t>:</w:t>
      </w:r>
    </w:p>
    <w:p w:rsidR="007842E6" w:rsidRPr="00957C54" w:rsidRDefault="007842E6">
      <w:pPr>
        <w:rPr>
          <w:sz w:val="22"/>
          <w:szCs w:val="22"/>
          <w:lang w:val="de-DE"/>
        </w:rPr>
      </w:pPr>
    </w:p>
    <w:p w:rsidR="007842E6" w:rsidRPr="00957C54" w:rsidRDefault="006F40B1" w:rsidP="005531F7">
      <w:pPr>
        <w:jc w:val="both"/>
        <w:rPr>
          <w:sz w:val="22"/>
          <w:szCs w:val="22"/>
          <w:lang w:val="de-DE"/>
        </w:rPr>
      </w:pPr>
      <w:r w:rsidRPr="00957C54">
        <w:rPr>
          <w:b/>
          <w:sz w:val="22"/>
          <w:szCs w:val="22"/>
          <w:lang w:val="de-DE"/>
        </w:rPr>
        <w:t>1</w:t>
      </w:r>
      <w:r w:rsidR="007842E6" w:rsidRPr="00957C54">
        <w:rPr>
          <w:b/>
          <w:sz w:val="22"/>
          <w:szCs w:val="22"/>
          <w:lang w:val="de-DE"/>
        </w:rPr>
        <w:t>.</w:t>
      </w:r>
      <w:r w:rsidR="007842E6" w:rsidRPr="00957C54">
        <w:rPr>
          <w:sz w:val="22"/>
          <w:szCs w:val="22"/>
          <w:lang w:val="de-DE"/>
        </w:rPr>
        <w:t xml:space="preserve"> U ist Inhaber der ausschließlichen urheberrechtlichen Nutzungsrechte am O.-Programm. Der Ersterwerb erfolgt entweder durch Herunterladen der Software von der Internetseite des U oder durch Erwerb auf CD-ROM. Der Kunde erhält dabei Nutzungsrechte an dem Programm, die jedoch im Lizenzvertrag derart beschränkt sind, dass die Einräumung der Nutzungsrechte ausschließlich für interne Geschäftszwecke erfolgt und die Nutzungsrechte nicht abtretbar sind.</w:t>
      </w:r>
    </w:p>
    <w:p w:rsidR="00AB34C2" w:rsidRPr="00957C54" w:rsidRDefault="00AB34C2" w:rsidP="005531F7">
      <w:pPr>
        <w:jc w:val="both"/>
        <w:rPr>
          <w:sz w:val="22"/>
          <w:szCs w:val="22"/>
          <w:lang w:val="de-DE"/>
        </w:rPr>
      </w:pPr>
    </w:p>
    <w:p w:rsidR="007842E6" w:rsidRPr="00957C54" w:rsidRDefault="007842E6" w:rsidP="005531F7">
      <w:pPr>
        <w:jc w:val="both"/>
        <w:rPr>
          <w:sz w:val="22"/>
          <w:szCs w:val="22"/>
          <w:lang w:val="de-DE"/>
        </w:rPr>
      </w:pPr>
      <w:r w:rsidRPr="00957C54">
        <w:rPr>
          <w:sz w:val="22"/>
          <w:szCs w:val="22"/>
          <w:lang w:val="de-DE"/>
        </w:rPr>
        <w:t>W wirbt per E-Mail damit, gebrauchte Lizenzen des O.-Programms zu verkaufen. Primäre Zielgruppe dieser Werbung sind Lizenzinhaber, die das O.-Programm bereits besitzen und ihre Nutzungsrechte erweitern wollen. Die</w:t>
      </w:r>
      <w:r w:rsidR="00FC37E8" w:rsidRPr="00957C54">
        <w:rPr>
          <w:sz w:val="22"/>
          <w:szCs w:val="22"/>
          <w:lang w:val="de-DE"/>
        </w:rPr>
        <w:t>s</w:t>
      </w:r>
      <w:r w:rsidRPr="00957C54">
        <w:rPr>
          <w:sz w:val="22"/>
          <w:szCs w:val="22"/>
          <w:lang w:val="de-DE"/>
        </w:rPr>
        <w:t xml:space="preserve"> findet dergestalt statt, dass der Käufer dazu veranlasst wird, das Programm entsprechend der Anzahl der neu erworbenen Lizenzen in die Arbeitsspeicher weiterer Rechner zu laden.</w:t>
      </w:r>
    </w:p>
    <w:p w:rsidR="00AB34C2" w:rsidRPr="00957C54" w:rsidRDefault="00AB34C2" w:rsidP="005531F7">
      <w:pPr>
        <w:jc w:val="both"/>
        <w:rPr>
          <w:sz w:val="22"/>
          <w:szCs w:val="22"/>
          <w:lang w:val="de-DE"/>
        </w:rPr>
      </w:pPr>
    </w:p>
    <w:p w:rsidR="007842E6" w:rsidRPr="00957C54" w:rsidRDefault="007842E6" w:rsidP="005531F7">
      <w:pPr>
        <w:jc w:val="both"/>
        <w:rPr>
          <w:sz w:val="22"/>
          <w:szCs w:val="22"/>
          <w:lang w:val="de-DE"/>
        </w:rPr>
      </w:pPr>
      <w:r w:rsidRPr="00957C54">
        <w:rPr>
          <w:sz w:val="22"/>
          <w:szCs w:val="22"/>
          <w:lang w:val="de-DE"/>
        </w:rPr>
        <w:t>Kann U diese Geschäftspraxis des W unterbinden? (EuGH, Urt. v. 3. 7. 2012 − C-128/11, NJW 2012, 2565)</w:t>
      </w:r>
    </w:p>
    <w:sectPr w:rsidR="007842E6" w:rsidRPr="00957C54" w:rsidSect="002E4E8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006" w:rsidRDefault="00A02006" w:rsidP="00A02006">
      <w:r>
        <w:separator/>
      </w:r>
    </w:p>
  </w:endnote>
  <w:endnote w:type="continuationSeparator" w:id="0">
    <w:p w:rsidR="00A02006" w:rsidRDefault="00A02006" w:rsidP="00A0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006" w:rsidRDefault="00A02006" w:rsidP="00A02006">
      <w:r>
        <w:separator/>
      </w:r>
    </w:p>
  </w:footnote>
  <w:footnote w:type="continuationSeparator" w:id="0">
    <w:p w:rsidR="00A02006" w:rsidRDefault="00A02006" w:rsidP="00A02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06" w:rsidRDefault="00A02006">
    <w:pPr>
      <w:pStyle w:val="Kopfzeile"/>
      <w:rPr>
        <w:sz w:val="22"/>
      </w:rPr>
    </w:pPr>
    <w:r w:rsidRPr="00957C54">
      <w:rPr>
        <w:sz w:val="22"/>
      </w:rPr>
      <w:t>Prof. Dr. Thomas Hoeren</w:t>
    </w:r>
  </w:p>
  <w:p w:rsidR="00A02006" w:rsidRPr="00957C54" w:rsidRDefault="00A02006">
    <w:pPr>
      <w:pStyle w:val="Kopfzeil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3725C"/>
    <w:multiLevelType w:val="hybridMultilevel"/>
    <w:tmpl w:val="37DAF06C"/>
    <w:lvl w:ilvl="0" w:tplc="DAF0A57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2C106A"/>
    <w:multiLevelType w:val="hybridMultilevel"/>
    <w:tmpl w:val="43C679A6"/>
    <w:lvl w:ilvl="0" w:tplc="5322A89E">
      <w:start w:val="1"/>
      <w:numFmt w:val="decimal"/>
      <w:lvlText w:val="%1."/>
      <w:lvlJc w:val="left"/>
      <w:pPr>
        <w:ind w:left="720" w:hanging="360"/>
      </w:pPr>
      <w:rPr>
        <w:rFonts w:asciiTheme="minorHAnsi" w:hAnsiTheme="minorHAns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1A3D34"/>
    <w:multiLevelType w:val="hybridMultilevel"/>
    <w:tmpl w:val="7B644312"/>
    <w:lvl w:ilvl="0" w:tplc="241A3E38">
      <w:start w:val="1"/>
      <w:numFmt w:val="upperRoman"/>
      <w:lvlText w:val="%1."/>
      <w:lvlJc w:val="left"/>
      <w:pPr>
        <w:ind w:left="1080" w:hanging="72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9C"/>
    <w:rsid w:val="00023185"/>
    <w:rsid w:val="000D369C"/>
    <w:rsid w:val="00143689"/>
    <w:rsid w:val="001B05E1"/>
    <w:rsid w:val="00206F27"/>
    <w:rsid w:val="00217432"/>
    <w:rsid w:val="002A50B5"/>
    <w:rsid w:val="002E4E8A"/>
    <w:rsid w:val="0033542E"/>
    <w:rsid w:val="0035289A"/>
    <w:rsid w:val="00380F88"/>
    <w:rsid w:val="003A6B8F"/>
    <w:rsid w:val="00457735"/>
    <w:rsid w:val="004738D8"/>
    <w:rsid w:val="00532BEC"/>
    <w:rsid w:val="0054771F"/>
    <w:rsid w:val="005531F7"/>
    <w:rsid w:val="00556DE4"/>
    <w:rsid w:val="005A432E"/>
    <w:rsid w:val="005C71C7"/>
    <w:rsid w:val="005E07FC"/>
    <w:rsid w:val="006F40B1"/>
    <w:rsid w:val="00706B64"/>
    <w:rsid w:val="0077049B"/>
    <w:rsid w:val="007842E6"/>
    <w:rsid w:val="00856839"/>
    <w:rsid w:val="00861BB6"/>
    <w:rsid w:val="008C3487"/>
    <w:rsid w:val="008D1FE8"/>
    <w:rsid w:val="009404EC"/>
    <w:rsid w:val="00954F7A"/>
    <w:rsid w:val="00957C54"/>
    <w:rsid w:val="009D4B8F"/>
    <w:rsid w:val="00A02006"/>
    <w:rsid w:val="00A31000"/>
    <w:rsid w:val="00A616B9"/>
    <w:rsid w:val="00AA375E"/>
    <w:rsid w:val="00AB34C2"/>
    <w:rsid w:val="00B101E5"/>
    <w:rsid w:val="00B4096E"/>
    <w:rsid w:val="00B7346E"/>
    <w:rsid w:val="00BB2D59"/>
    <w:rsid w:val="00C612EB"/>
    <w:rsid w:val="00C758D4"/>
    <w:rsid w:val="00CE6707"/>
    <w:rsid w:val="00D30AC4"/>
    <w:rsid w:val="00D80295"/>
    <w:rsid w:val="00EB44EA"/>
    <w:rsid w:val="00EE11FF"/>
    <w:rsid w:val="00EF46FA"/>
    <w:rsid w:val="00F404D0"/>
    <w:rsid w:val="00FB197E"/>
    <w:rsid w:val="00FC37E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B458"/>
  <w15:docId w15:val="{9A49A565-E0A1-47CF-B0DB-8FD2A7DF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369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369C"/>
    <w:rPr>
      <w:i w:val="0"/>
      <w:iCs w:val="0"/>
      <w:strike w:val="0"/>
      <w:dstrike w:val="0"/>
      <w:color w:val="000000"/>
      <w:u w:val="none"/>
      <w:effect w:val="none"/>
    </w:rPr>
  </w:style>
  <w:style w:type="paragraph" w:styleId="Sprechblasentext">
    <w:name w:val="Balloon Text"/>
    <w:basedOn w:val="Standard"/>
    <w:link w:val="SprechblasentextZchn"/>
    <w:uiPriority w:val="99"/>
    <w:semiHidden/>
    <w:unhideWhenUsed/>
    <w:rsid w:val="008568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839"/>
    <w:rPr>
      <w:rFonts w:ascii="Tahoma" w:eastAsia="Times New Roman" w:hAnsi="Tahoma" w:cs="Tahoma"/>
      <w:sz w:val="16"/>
      <w:szCs w:val="16"/>
      <w:lang w:val="en-US" w:eastAsia="de-DE"/>
    </w:rPr>
  </w:style>
  <w:style w:type="character" w:customStyle="1" w:styleId="etyp">
    <w:name w:val="etyp"/>
    <w:basedOn w:val="Absatz-Standardschriftart"/>
    <w:rsid w:val="0077049B"/>
  </w:style>
  <w:style w:type="character" w:customStyle="1" w:styleId="datum">
    <w:name w:val="datum"/>
    <w:basedOn w:val="Absatz-Standardschriftart"/>
    <w:rsid w:val="0077049B"/>
  </w:style>
  <w:style w:type="character" w:customStyle="1" w:styleId="az">
    <w:name w:val="az"/>
    <w:basedOn w:val="Absatz-Standardschriftart"/>
    <w:rsid w:val="0077049B"/>
  </w:style>
  <w:style w:type="paragraph" w:styleId="Listenabsatz">
    <w:name w:val="List Paragraph"/>
    <w:basedOn w:val="Standard"/>
    <w:uiPriority w:val="34"/>
    <w:qFormat/>
    <w:rsid w:val="00D30AC4"/>
    <w:pPr>
      <w:ind w:left="720"/>
      <w:contextualSpacing/>
    </w:pPr>
  </w:style>
  <w:style w:type="paragraph" w:styleId="Kopfzeile">
    <w:name w:val="header"/>
    <w:basedOn w:val="Standard"/>
    <w:link w:val="KopfzeileZchn"/>
    <w:uiPriority w:val="99"/>
    <w:unhideWhenUsed/>
    <w:rsid w:val="00A02006"/>
    <w:pPr>
      <w:tabs>
        <w:tab w:val="center" w:pos="4536"/>
        <w:tab w:val="right" w:pos="9072"/>
      </w:tabs>
    </w:pPr>
  </w:style>
  <w:style w:type="character" w:customStyle="1" w:styleId="KopfzeileZchn">
    <w:name w:val="Kopfzeile Zchn"/>
    <w:basedOn w:val="Absatz-Standardschriftart"/>
    <w:link w:val="Kopfzeile"/>
    <w:uiPriority w:val="99"/>
    <w:rsid w:val="00A02006"/>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A02006"/>
    <w:pPr>
      <w:tabs>
        <w:tab w:val="center" w:pos="4536"/>
        <w:tab w:val="right" w:pos="9072"/>
      </w:tabs>
    </w:pPr>
  </w:style>
  <w:style w:type="character" w:customStyle="1" w:styleId="FuzeileZchn">
    <w:name w:val="Fußzeile Zchn"/>
    <w:basedOn w:val="Absatz-Standardschriftart"/>
    <w:link w:val="Fuzeile"/>
    <w:uiPriority w:val="99"/>
    <w:rsid w:val="00A02006"/>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6400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3</cp:revision>
  <dcterms:created xsi:type="dcterms:W3CDTF">2019-06-25T12:34:00Z</dcterms:created>
  <dcterms:modified xsi:type="dcterms:W3CDTF">2020-03-26T13:37:00Z</dcterms:modified>
</cp:coreProperties>
</file>