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FBE7" w14:textId="77777777" w:rsidR="00AE4691" w:rsidRPr="00AE4691" w:rsidRDefault="00AE4691" w:rsidP="00AE4691">
      <w:r w:rsidRPr="00AE4691">
        <w:t>Copyright reform: South Africa needs precision, not another decade of delay</w:t>
      </w:r>
    </w:p>
    <w:p w14:paraId="5495CED8" w14:textId="77777777" w:rsidR="00AE4691" w:rsidRPr="00AE4691" w:rsidRDefault="00AE4691" w:rsidP="00AE4691">
      <w:r w:rsidRPr="00AE4691">
        <w:t>By Professor Thomas Hoeren, Stellenbosch</w:t>
      </w:r>
    </w:p>
    <w:p w14:paraId="122D0D1D" w14:textId="77777777" w:rsidR="00AE4691" w:rsidRPr="00AE4691" w:rsidRDefault="00AE4691" w:rsidP="00AE4691">
      <w:r w:rsidRPr="00AE4691">
        <w:t>South Africa’s long-running copyright reform is not dead. Nor has it received an unconditional blessing from the Constitutional Court. The Court’s judgment of 26 June should instead be understood as a precise repair order.</w:t>
      </w:r>
    </w:p>
    <w:p w14:paraId="324F7DA7" w14:textId="1A97BACE" w:rsidR="00AE4691" w:rsidRPr="00AE4691" w:rsidRDefault="00AE4691" w:rsidP="00AE4691">
      <w:r w:rsidRPr="00AE4691">
        <w:t xml:space="preserve">The Court upheld most of the architecture of the Copyright Amendment Bill. The </w:t>
      </w:r>
      <w:r w:rsidRPr="00E52E5C">
        <w:t>proposed fair-use provision in section 12A survived the constitutional objections placed before the Court. So did the exceptions for quotations, translations and personal uses, the rules on software interoperability and the provisions for libraries, archives, museums and galleries</w:t>
      </w:r>
      <w:r w:rsidR="007B00B0" w:rsidRPr="00E52E5C">
        <w:t xml:space="preserve">, and section 12D (6)-( 9).  </w:t>
      </w:r>
      <w:r w:rsidRPr="00E52E5C">
        <w:t>But the majority drew a firm line at sections 12D(1)–(5)</w:t>
      </w:r>
      <w:r w:rsidR="007B00B0" w:rsidRPr="00E52E5C">
        <w:t xml:space="preserve">, which related to the making of copies for inclusion in course-packs and copying whole books in a few instances.  </w:t>
      </w:r>
      <w:r w:rsidRPr="00E52E5C">
        <w:t>These extensive exceptions for educational and academic activities were declared unconstitutional. In the Court’s view, they went further than necessary</w:t>
      </w:r>
      <w:r w:rsidRPr="00AE4691">
        <w:t>, could substantially damage the legitimate market for textbooks and shifted part of the state’s responsibility for financing education onto authors and publishers. They therefore amounted to an arbitrary deprivation of property.</w:t>
      </w:r>
    </w:p>
    <w:p w14:paraId="2E9437E6" w14:textId="77777777" w:rsidR="00AE4691" w:rsidRPr="00AE4691" w:rsidRDefault="00AE4691" w:rsidP="00AE4691">
      <w:r w:rsidRPr="00AE4691">
        <w:t>The President cannot sign the Copyright Amendment Bill or the parallel Performers’ Protection Amendment Bill in their present form. The Bills must return to Parliament. That should happen promptly, but it need not trigger another complete restart.</w:t>
      </w:r>
    </w:p>
    <w:p w14:paraId="0731504B" w14:textId="77777777" w:rsidR="00AE4691" w:rsidRPr="00AE4691" w:rsidRDefault="00AE4691" w:rsidP="00AE4691">
      <w:r w:rsidRPr="00AE4691">
        <w:t>Parliament’s first task is a tightly focused redrafting of section 12D. The revised provision should distinguish clearly between using limited extracts for teaching and reproducing entire textbooks or other commercially available works. It should specify the institutions and activities covered, require a genuinely non-commercial educational purpose and take account of the quantity copied, the availability of licences and the effect on the normal market for the work.</w:t>
      </w:r>
    </w:p>
    <w:p w14:paraId="09E209A4" w14:textId="77777777" w:rsidR="00AE4691" w:rsidRPr="00AE4691" w:rsidRDefault="00AE4691" w:rsidP="00AE4691">
      <w:r w:rsidRPr="00AE4691">
        <w:t>Reproduction of an entire work should remain exceptional. It may be justified where a suitable edition is unavailable, where an accessible format is required or where the use does not replace a realistic commercial market. The wording should expressly reflect the international three-step test: an exception must concern a special case, must not conflict with the normal exploitation of a work and must not unreasonably prejudice the legitimate interests of the rights holder.</w:t>
      </w:r>
    </w:p>
    <w:p w14:paraId="3F989B7D" w14:textId="77777777" w:rsidR="00AE4691" w:rsidRPr="00AE4691" w:rsidRDefault="00AE4691" w:rsidP="00AE4691">
      <w:r w:rsidRPr="00AE4691">
        <w:t>A narrower provision must not, however, become a tool for preventing meaningful access to education. Copyright cannot conceal chronic underfunding of schools and universities. The state must ensure that learners receive textbooks and digital materials. At the same time, destroying the market that enables South African authors and publishers to produce those materials would solve nothing.</w:t>
      </w:r>
    </w:p>
    <w:p w14:paraId="5C91EC1D" w14:textId="77777777" w:rsidR="00AE4691" w:rsidRPr="00AE4691" w:rsidRDefault="00AE4691" w:rsidP="00AE4691">
      <w:r w:rsidRPr="00AE4691">
        <w:t xml:space="preserve">Parliament must also protect the gains already secured for persons with disabilities. In Blind SA, the Constitutional Court put an accessible-format exception into place until </w:t>
      </w:r>
      <w:r w:rsidRPr="00AE4691">
        <w:lastRenderedPageBreak/>
        <w:t>permanent legislation is enacted. That protection, including the cross-border exchange of accessible copies, should be given a secure statutory foundation and must not remain hostage to the wider dispute over educational copying.</w:t>
      </w:r>
    </w:p>
    <w:p w14:paraId="651C0F57" w14:textId="77777777" w:rsidR="00AE4691" w:rsidRPr="00AE4691" w:rsidRDefault="00AE4691" w:rsidP="00AE4691">
      <w:r w:rsidRPr="00AE4691">
        <w:t>A further unresolved issue concerns the proposed remuneration rights in sections 6A, 7A and 8A. The Court did not declare these provisions constitutional. It declined to decide the issue because the President’s referral was procedurally defective. Parliament should therefore remove any uncertainty about retrospective application, identify the contracts affected and design a remuneration system that can actually be administered.</w:t>
      </w:r>
    </w:p>
    <w:p w14:paraId="53D041AA" w14:textId="77777777" w:rsidR="00B1460E" w:rsidRPr="00B1460E" w:rsidRDefault="00AE4691" w:rsidP="00B1460E">
      <w:r w:rsidRPr="00AE4691">
        <w:t xml:space="preserve">After </w:t>
      </w:r>
      <w:proofErr w:type="spellStart"/>
      <w:r w:rsidRPr="00AE4691">
        <w:t>more</w:t>
      </w:r>
      <w:proofErr w:type="spellEnd"/>
      <w:r w:rsidRPr="00AE4691">
        <w:t xml:space="preserve"> </w:t>
      </w:r>
      <w:proofErr w:type="spellStart"/>
      <w:r w:rsidRPr="00AE4691">
        <w:t>than</w:t>
      </w:r>
      <w:proofErr w:type="spellEnd"/>
      <w:r w:rsidRPr="00AE4691">
        <w:t xml:space="preserve"> a decade of debate, another indefinite round of consultation would be </w:t>
      </w:r>
      <w:proofErr w:type="spellStart"/>
      <w:r w:rsidRPr="00AE4691">
        <w:t>irresponsible</w:t>
      </w:r>
      <w:proofErr w:type="spellEnd"/>
      <w:r w:rsidR="00B1460E">
        <w:t xml:space="preserve">; </w:t>
      </w:r>
      <w:r w:rsidR="00B1460E" w:rsidRPr="00B1460E">
        <w:t xml:space="preserve">a </w:t>
      </w:r>
      <w:proofErr w:type="spellStart"/>
      <w:r w:rsidR="00B1460E" w:rsidRPr="00B1460E">
        <w:t>great</w:t>
      </w:r>
      <w:proofErr w:type="spellEnd"/>
      <w:r w:rsidR="00B1460E" w:rsidRPr="00B1460E">
        <w:t xml:space="preserve"> deal of time, human </w:t>
      </w:r>
      <w:proofErr w:type="spellStart"/>
      <w:r w:rsidR="00B1460E" w:rsidRPr="00B1460E">
        <w:t>effort</w:t>
      </w:r>
      <w:proofErr w:type="spellEnd"/>
      <w:r w:rsidR="00B1460E" w:rsidRPr="00B1460E">
        <w:t xml:space="preserve"> and </w:t>
      </w:r>
      <w:proofErr w:type="spellStart"/>
      <w:r w:rsidR="00B1460E" w:rsidRPr="00B1460E">
        <w:t>public</w:t>
      </w:r>
      <w:proofErr w:type="spellEnd"/>
      <w:r w:rsidR="00B1460E" w:rsidRPr="00B1460E">
        <w:t xml:space="preserve"> </w:t>
      </w:r>
      <w:proofErr w:type="spellStart"/>
      <w:r w:rsidR="00B1460E" w:rsidRPr="00B1460E">
        <w:t>money</w:t>
      </w:r>
      <w:proofErr w:type="spellEnd"/>
      <w:r w:rsidR="00B1460E" w:rsidRPr="00B1460E">
        <w:t xml:space="preserve"> </w:t>
      </w:r>
      <w:proofErr w:type="spellStart"/>
      <w:r w:rsidR="00B1460E" w:rsidRPr="00B1460E">
        <w:t>has</w:t>
      </w:r>
      <w:proofErr w:type="spellEnd"/>
      <w:r w:rsidR="00B1460E" w:rsidRPr="00B1460E">
        <w:t xml:space="preserve"> </w:t>
      </w:r>
      <w:proofErr w:type="spellStart"/>
      <w:r w:rsidR="00B1460E" w:rsidRPr="00B1460E">
        <w:t>already</w:t>
      </w:r>
      <w:proofErr w:type="spellEnd"/>
      <w:r w:rsidR="00B1460E" w:rsidRPr="00B1460E">
        <w:t xml:space="preserve"> </w:t>
      </w:r>
      <w:proofErr w:type="spellStart"/>
      <w:r w:rsidR="00B1460E" w:rsidRPr="00B1460E">
        <w:t>been</w:t>
      </w:r>
      <w:proofErr w:type="spellEnd"/>
      <w:r w:rsidR="00B1460E" w:rsidRPr="00B1460E">
        <w:t xml:space="preserve"> </w:t>
      </w:r>
      <w:proofErr w:type="spellStart"/>
      <w:r w:rsidR="00B1460E" w:rsidRPr="00B1460E">
        <w:t>spent</w:t>
      </w:r>
      <w:proofErr w:type="spellEnd"/>
      <w:r w:rsidR="00B1460E" w:rsidRPr="00B1460E">
        <w:t xml:space="preserve"> on </w:t>
      </w:r>
      <w:proofErr w:type="spellStart"/>
      <w:r w:rsidR="00B1460E" w:rsidRPr="00B1460E">
        <w:t>this</w:t>
      </w:r>
      <w:proofErr w:type="spellEnd"/>
      <w:r w:rsidR="00B1460E" w:rsidRPr="00B1460E">
        <w:t xml:space="preserve"> Bill, and it </w:t>
      </w:r>
      <w:proofErr w:type="spellStart"/>
      <w:r w:rsidR="00B1460E" w:rsidRPr="00B1460E">
        <w:t>should</w:t>
      </w:r>
      <w:proofErr w:type="spellEnd"/>
      <w:r w:rsidR="00B1460E" w:rsidRPr="00B1460E">
        <w:t xml:space="preserve"> </w:t>
      </w:r>
      <w:proofErr w:type="spellStart"/>
      <w:r w:rsidR="00B1460E" w:rsidRPr="00B1460E">
        <w:t>move</w:t>
      </w:r>
      <w:proofErr w:type="spellEnd"/>
      <w:r w:rsidR="00B1460E" w:rsidRPr="00B1460E">
        <w:t xml:space="preserve"> </w:t>
      </w:r>
      <w:proofErr w:type="spellStart"/>
      <w:r w:rsidR="00B1460E" w:rsidRPr="00B1460E">
        <w:t>forward</w:t>
      </w:r>
      <w:proofErr w:type="spellEnd"/>
      <w:r w:rsidR="00B1460E" w:rsidRPr="00B1460E">
        <w:t xml:space="preserve"> as </w:t>
      </w:r>
      <w:proofErr w:type="spellStart"/>
      <w:r w:rsidR="00B1460E" w:rsidRPr="00B1460E">
        <w:t>soon</w:t>
      </w:r>
      <w:proofErr w:type="spellEnd"/>
      <w:r w:rsidR="00B1460E" w:rsidRPr="00B1460E">
        <w:t xml:space="preserve"> as the </w:t>
      </w:r>
      <w:proofErr w:type="spellStart"/>
      <w:r w:rsidR="00B1460E" w:rsidRPr="00B1460E">
        <w:t>defects</w:t>
      </w:r>
      <w:proofErr w:type="spellEnd"/>
      <w:r w:rsidR="00B1460E" w:rsidRPr="00B1460E">
        <w:t xml:space="preserve"> </w:t>
      </w:r>
      <w:proofErr w:type="spellStart"/>
      <w:r w:rsidR="00B1460E" w:rsidRPr="00B1460E">
        <w:t>have</w:t>
      </w:r>
      <w:proofErr w:type="spellEnd"/>
      <w:r w:rsidR="00B1460E" w:rsidRPr="00B1460E">
        <w:t xml:space="preserve"> </w:t>
      </w:r>
      <w:proofErr w:type="spellStart"/>
      <w:r w:rsidR="00B1460E" w:rsidRPr="00B1460E">
        <w:t>been</w:t>
      </w:r>
      <w:proofErr w:type="spellEnd"/>
      <w:r w:rsidR="00B1460E" w:rsidRPr="00B1460E">
        <w:t xml:space="preserve"> </w:t>
      </w:r>
      <w:proofErr w:type="spellStart"/>
      <w:r w:rsidR="00B1460E" w:rsidRPr="00B1460E">
        <w:t>remedied</w:t>
      </w:r>
      <w:proofErr w:type="spellEnd"/>
      <w:r w:rsidR="00B1460E" w:rsidRPr="00B1460E">
        <w:t xml:space="preserve">. </w:t>
      </w:r>
    </w:p>
    <w:p w14:paraId="008571A6" w14:textId="77740294" w:rsidR="00AE4691" w:rsidRPr="00AE4691" w:rsidRDefault="00AE4691" w:rsidP="00AE4691">
      <w:r w:rsidRPr="00AE4691">
        <w:t xml:space="preserve"> What is required is targeted public participation, an updated economic-impact assessment and a binding legislative timetable.</w:t>
      </w:r>
    </w:p>
    <w:p w14:paraId="1A659625" w14:textId="77777777" w:rsidR="00AE4691" w:rsidRPr="00AE4691" w:rsidRDefault="00AE4691" w:rsidP="00AE4691">
      <w:r w:rsidRPr="00AE4691">
        <w:t>The Constitutional Court has shown the way forward. Parliament should preserve the provisions that survived scrutiny, repair the educational exception and resolve the remaining remuneration questions. South Africa does not need a perfect copyright statute. It urgently needs one that is modern, constitutional and workable.</w:t>
      </w:r>
    </w:p>
    <w:p w14:paraId="7C6ABC05" w14:textId="4DB740A2" w:rsidR="00200C38" w:rsidRPr="00AE4691" w:rsidRDefault="00AE4691" w:rsidP="00AE4691">
      <w:r w:rsidRPr="00AE4691">
        <w:t>Thomas Hoeren is Professor of Information Law at the University of Münster, Germany. He writes from Stellenbosch.</w:t>
      </w:r>
    </w:p>
    <w:sectPr w:rsidR="00200C38" w:rsidRPr="00AE469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FCBFFC1-E868-4552-A306-D3E74CEF62CD}"/>
    <w:docVar w:name="dgnword-drafile" w:val="C:\Users\Anwender\AppData\Local\Temp\draF18A.tmp"/>
    <w:docVar w:name="dgnword-eventsink" w:val="1957651477744"/>
  </w:docVars>
  <w:rsids>
    <w:rsidRoot w:val="00ED3D0D"/>
    <w:rsid w:val="00200C38"/>
    <w:rsid w:val="002D2AE8"/>
    <w:rsid w:val="00411592"/>
    <w:rsid w:val="004270E4"/>
    <w:rsid w:val="007B00B0"/>
    <w:rsid w:val="00AE4691"/>
    <w:rsid w:val="00B1460E"/>
    <w:rsid w:val="00D063F2"/>
    <w:rsid w:val="00DE0ADF"/>
    <w:rsid w:val="00E52E5C"/>
    <w:rsid w:val="00ED3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8DB7F"/>
  <w15:chartTrackingRefBased/>
  <w15:docId w15:val="{33C82CCF-0B44-4BD7-9B07-BC417F1D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D3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D3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D3D0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D3D0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D3D0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D3D0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D3D0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D3D0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D3D0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D3D0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D3D0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D3D0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D3D0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D3D0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D3D0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D3D0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D3D0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D3D0D"/>
    <w:rPr>
      <w:rFonts w:eastAsiaTheme="majorEastAsia" w:cstheme="majorBidi"/>
      <w:color w:val="272727" w:themeColor="text1" w:themeTint="D8"/>
    </w:rPr>
  </w:style>
  <w:style w:type="paragraph" w:styleId="Titel">
    <w:name w:val="Title"/>
    <w:basedOn w:val="Standard"/>
    <w:next w:val="Standard"/>
    <w:link w:val="TitelZchn"/>
    <w:uiPriority w:val="10"/>
    <w:qFormat/>
    <w:rsid w:val="00ED3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D3D0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D3D0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D3D0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D3D0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D3D0D"/>
    <w:rPr>
      <w:i/>
      <w:iCs/>
      <w:color w:val="404040" w:themeColor="text1" w:themeTint="BF"/>
    </w:rPr>
  </w:style>
  <w:style w:type="paragraph" w:styleId="Listenabsatz">
    <w:name w:val="List Paragraph"/>
    <w:basedOn w:val="Standard"/>
    <w:uiPriority w:val="34"/>
    <w:qFormat/>
    <w:rsid w:val="00ED3D0D"/>
    <w:pPr>
      <w:ind w:left="720"/>
      <w:contextualSpacing/>
    </w:pPr>
  </w:style>
  <w:style w:type="character" w:styleId="IntensiveHervorhebung">
    <w:name w:val="Intense Emphasis"/>
    <w:basedOn w:val="Absatz-Standardschriftart"/>
    <w:uiPriority w:val="21"/>
    <w:qFormat/>
    <w:rsid w:val="00ED3D0D"/>
    <w:rPr>
      <w:i/>
      <w:iCs/>
      <w:color w:val="0F4761" w:themeColor="accent1" w:themeShade="BF"/>
    </w:rPr>
  </w:style>
  <w:style w:type="paragraph" w:styleId="IntensivesZitat">
    <w:name w:val="Intense Quote"/>
    <w:basedOn w:val="Standard"/>
    <w:next w:val="Standard"/>
    <w:link w:val="IntensivesZitatZchn"/>
    <w:uiPriority w:val="30"/>
    <w:qFormat/>
    <w:rsid w:val="00ED3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D3D0D"/>
    <w:rPr>
      <w:i/>
      <w:iCs/>
      <w:color w:val="0F4761" w:themeColor="accent1" w:themeShade="BF"/>
    </w:rPr>
  </w:style>
  <w:style w:type="character" w:styleId="IntensiverVerweis">
    <w:name w:val="Intense Reference"/>
    <w:basedOn w:val="Absatz-Standardschriftart"/>
    <w:uiPriority w:val="32"/>
    <w:qFormat/>
    <w:rsid w:val="00ED3D0D"/>
    <w:rPr>
      <w:b/>
      <w:bCs/>
      <w:smallCaps/>
      <w:color w:val="0F4761" w:themeColor="accent1" w:themeShade="BF"/>
      <w:spacing w:val="5"/>
    </w:rPr>
  </w:style>
  <w:style w:type="character" w:styleId="Kommentarzeichen">
    <w:name w:val="annotation reference"/>
    <w:basedOn w:val="Absatz-Standardschriftart"/>
    <w:uiPriority w:val="99"/>
    <w:semiHidden/>
    <w:unhideWhenUsed/>
    <w:rsid w:val="007B00B0"/>
    <w:rPr>
      <w:sz w:val="16"/>
      <w:szCs w:val="16"/>
    </w:rPr>
  </w:style>
  <w:style w:type="paragraph" w:styleId="Kommentartext">
    <w:name w:val="annotation text"/>
    <w:basedOn w:val="Standard"/>
    <w:link w:val="KommentartextZchn"/>
    <w:uiPriority w:val="99"/>
    <w:unhideWhenUsed/>
    <w:rsid w:val="007B00B0"/>
    <w:pPr>
      <w:spacing w:line="240" w:lineRule="auto"/>
    </w:pPr>
    <w:rPr>
      <w:sz w:val="20"/>
      <w:szCs w:val="20"/>
    </w:rPr>
  </w:style>
  <w:style w:type="character" w:customStyle="1" w:styleId="KommentartextZchn">
    <w:name w:val="Kommentartext Zchn"/>
    <w:basedOn w:val="Absatz-Standardschriftart"/>
    <w:link w:val="Kommentartext"/>
    <w:uiPriority w:val="99"/>
    <w:rsid w:val="007B00B0"/>
    <w:rPr>
      <w:sz w:val="20"/>
      <w:szCs w:val="20"/>
    </w:rPr>
  </w:style>
  <w:style w:type="paragraph" w:styleId="Kommentarthema">
    <w:name w:val="annotation subject"/>
    <w:basedOn w:val="Kommentartext"/>
    <w:next w:val="Kommentartext"/>
    <w:link w:val="KommentarthemaZchn"/>
    <w:uiPriority w:val="99"/>
    <w:semiHidden/>
    <w:unhideWhenUsed/>
    <w:rsid w:val="007B00B0"/>
    <w:rPr>
      <w:b/>
      <w:bCs/>
    </w:rPr>
  </w:style>
  <w:style w:type="character" w:customStyle="1" w:styleId="KommentarthemaZchn">
    <w:name w:val="Kommentarthema Zchn"/>
    <w:basedOn w:val="KommentartextZchn"/>
    <w:link w:val="Kommentarthema"/>
    <w:uiPriority w:val="99"/>
    <w:semiHidden/>
    <w:rsid w:val="007B00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3913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Thomas Hoeren</dc:creator>
  <cp:keywords/>
  <dc:description/>
  <cp:lastModifiedBy>Prof. Thomas Hoeren</cp:lastModifiedBy>
  <cp:revision>3</cp:revision>
  <dcterms:created xsi:type="dcterms:W3CDTF">2026-09-15T14:56:00Z</dcterms:created>
  <dcterms:modified xsi:type="dcterms:W3CDTF">2026-09-15T14:56:00Z</dcterms:modified>
</cp:coreProperties>
</file>